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kern w:val="0"/>
          <w:sz w:val="24"/>
          <w:highlight w:val="none"/>
        </w:rPr>
      </w:pPr>
      <w:bookmarkStart w:id="0" w:name="_Hlk27061375"/>
      <w:bookmarkEnd w:id="0"/>
      <w:r>
        <w:rPr>
          <w:rFonts w:hint="eastAsia" w:ascii="宋体" w:hAnsi="宋体" w:cs="宋体"/>
          <w:highlight w:val="none"/>
        </w:rPr>
        <w:drawing>
          <wp:inline distT="0" distB="0" distL="114300" distR="114300">
            <wp:extent cx="1753235" cy="1776095"/>
            <wp:effectExtent l="0" t="0" r="146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2" cstate="print"/>
                    <a:stretch>
                      <a:fillRect/>
                    </a:stretch>
                  </pic:blipFill>
                  <pic:spPr>
                    <a:xfrm>
                      <a:off x="0" y="0"/>
                      <a:ext cx="1753235" cy="1776095"/>
                    </a:xfrm>
                    <a:prstGeom prst="rect">
                      <a:avLst/>
                    </a:prstGeom>
                    <a:noFill/>
                    <a:ln>
                      <a:noFill/>
                    </a:ln>
                  </pic:spPr>
                </pic:pic>
              </a:graphicData>
            </a:graphic>
          </wp:inline>
        </w:drawing>
      </w:r>
    </w:p>
    <w:p>
      <w:pPr>
        <w:pageBreakBefore w:val="0"/>
        <w:kinsoku/>
        <w:overflowPunct/>
        <w:bidi w:val="0"/>
        <w:spacing w:line="360" w:lineRule="auto"/>
        <w:jc w:val="both"/>
        <w:rPr>
          <w:rFonts w:hint="eastAsia" w:ascii="宋体" w:hAnsi="宋体" w:eastAsia="宋体" w:cs="宋体"/>
          <w:b/>
          <w:color w:val="auto"/>
          <w:sz w:val="96"/>
          <w:szCs w:val="96"/>
          <w:highlight w:val="none"/>
        </w:rPr>
      </w:pPr>
    </w:p>
    <w:p>
      <w:pPr>
        <w:pageBreakBefore w:val="0"/>
        <w:kinsoku/>
        <w:overflowPunct/>
        <w:bidi w:val="0"/>
        <w:spacing w:line="360" w:lineRule="auto"/>
        <w:jc w:val="center"/>
        <w:rPr>
          <w:rFonts w:hint="eastAsia" w:ascii="宋体" w:hAnsi="宋体" w:eastAsia="宋体" w:cs="宋体"/>
          <w:b/>
          <w:color w:val="auto"/>
          <w:sz w:val="96"/>
          <w:szCs w:val="96"/>
          <w:highlight w:val="none"/>
        </w:rPr>
      </w:pPr>
      <w:r>
        <w:rPr>
          <w:rFonts w:hint="eastAsia" w:ascii="宋体" w:hAnsi="宋体" w:eastAsia="宋体" w:cs="宋体"/>
          <w:b/>
          <w:color w:val="auto"/>
          <w:sz w:val="96"/>
          <w:szCs w:val="96"/>
          <w:highlight w:val="none"/>
        </w:rPr>
        <w:t>招标文件</w:t>
      </w:r>
    </w:p>
    <w:p>
      <w:pPr>
        <w:pageBreakBefore w:val="0"/>
        <w:kinsoku/>
        <w:overflowPunct/>
        <w:bidi w:val="0"/>
        <w:spacing w:line="360" w:lineRule="auto"/>
        <w:rPr>
          <w:rFonts w:hint="eastAsia" w:ascii="宋体" w:hAnsi="宋体" w:eastAsia="宋体" w:cs="宋体"/>
          <w:color w:val="auto"/>
          <w:sz w:val="24"/>
          <w:highlight w:val="none"/>
        </w:rPr>
      </w:pPr>
    </w:p>
    <w:p>
      <w:pPr>
        <w:pageBreakBefore w:val="0"/>
        <w:kinsoku/>
        <w:overflowPunct/>
        <w:bidi w:val="0"/>
        <w:spacing w:line="360" w:lineRule="auto"/>
        <w:rPr>
          <w:rFonts w:hint="eastAsia" w:ascii="宋体" w:hAnsi="宋体" w:eastAsia="宋体" w:cs="宋体"/>
          <w:color w:val="auto"/>
          <w:highlight w:val="none"/>
        </w:rPr>
      </w:pPr>
    </w:p>
    <w:p>
      <w:pPr>
        <w:pageBreakBefore w:val="0"/>
        <w:kinsoku/>
        <w:overflowPunct/>
        <w:bidi w:val="0"/>
        <w:spacing w:line="360" w:lineRule="auto"/>
        <w:ind w:left="2244" w:leftChars="304" w:hanging="1606" w:hangingChars="500"/>
        <w:jc w:val="left"/>
        <w:outlineLvl w:val="0"/>
        <w:rPr>
          <w:rFonts w:hint="default" w:ascii="宋体" w:hAnsi="宋体" w:eastAsia="宋体" w:cs="宋体"/>
          <w:b/>
          <w:bCs/>
          <w:color w:val="auto"/>
          <w:sz w:val="32"/>
          <w:szCs w:val="32"/>
          <w:highlight w:val="none"/>
          <w:lang w:val="en-US" w:eastAsia="zh-CN"/>
        </w:rPr>
      </w:pPr>
      <w:bookmarkStart w:id="1" w:name="_Toc26840"/>
      <w:bookmarkStart w:id="2" w:name="_Toc1439"/>
      <w:bookmarkStart w:id="3" w:name="_Toc3269"/>
      <w:bookmarkStart w:id="4" w:name="_Toc16280"/>
      <w:r>
        <w:rPr>
          <w:rFonts w:hint="eastAsia" w:ascii="宋体" w:hAnsi="宋体" w:eastAsia="宋体" w:cs="宋体"/>
          <w:b/>
          <w:bCs/>
          <w:color w:val="auto"/>
          <w:sz w:val="32"/>
          <w:szCs w:val="32"/>
          <w:highlight w:val="none"/>
        </w:rPr>
        <w:t>项目名称：</w:t>
      </w:r>
      <w:bookmarkEnd w:id="1"/>
      <w:bookmarkEnd w:id="2"/>
      <w:r>
        <w:rPr>
          <w:rFonts w:hint="eastAsia" w:ascii="宋体" w:hAnsi="宋体" w:cs="宋体"/>
          <w:b/>
          <w:bCs/>
          <w:color w:val="auto"/>
          <w:sz w:val="32"/>
          <w:szCs w:val="32"/>
          <w:highlight w:val="none"/>
          <w:lang w:val="en-US" w:eastAsia="zh-CN"/>
        </w:rPr>
        <w:t>郑州航空港经济综合实验区河东六号安置区第四幼儿园（瑞和幼儿园）建设项目监理</w:t>
      </w:r>
      <w:bookmarkEnd w:id="3"/>
      <w:bookmarkEnd w:id="4"/>
    </w:p>
    <w:p>
      <w:pPr>
        <w:pageBreakBefore w:val="0"/>
        <w:kinsoku/>
        <w:overflowPunct/>
        <w:bidi w:val="0"/>
        <w:spacing w:line="360" w:lineRule="auto"/>
        <w:ind w:firstLine="643" w:firstLineChars="200"/>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招标编号：</w:t>
      </w:r>
    </w:p>
    <w:p>
      <w:pPr>
        <w:pageBreakBefore w:val="0"/>
        <w:kinsoku/>
        <w:overflowPunct/>
        <w:bidi w:val="0"/>
        <w:spacing w:line="360" w:lineRule="auto"/>
        <w:rPr>
          <w:rFonts w:hint="eastAsia" w:ascii="宋体" w:hAnsi="宋体" w:eastAsia="宋体" w:cs="宋体"/>
          <w:color w:val="auto"/>
          <w:sz w:val="24"/>
          <w:highlight w:val="none"/>
        </w:rPr>
      </w:pPr>
    </w:p>
    <w:p>
      <w:pPr>
        <w:pageBreakBefore w:val="0"/>
        <w:kinsoku/>
        <w:overflowPunct/>
        <w:bidi w:val="0"/>
        <w:spacing w:line="360" w:lineRule="auto"/>
        <w:rPr>
          <w:rFonts w:hint="eastAsia" w:ascii="宋体" w:hAnsi="宋体" w:eastAsia="宋体" w:cs="宋体"/>
          <w:color w:val="auto"/>
          <w:highlight w:val="none"/>
        </w:rPr>
      </w:pPr>
    </w:p>
    <w:p>
      <w:pPr>
        <w:pStyle w:val="33"/>
        <w:rPr>
          <w:rFonts w:hint="eastAsia"/>
          <w:highlight w:val="none"/>
        </w:rPr>
      </w:pPr>
    </w:p>
    <w:p>
      <w:pPr>
        <w:pageBreakBefore w:val="0"/>
        <w:kinsoku/>
        <w:overflowPunct/>
        <w:bidi w:val="0"/>
        <w:spacing w:line="360" w:lineRule="auto"/>
        <w:rPr>
          <w:rFonts w:hint="eastAsia" w:ascii="宋体" w:hAnsi="宋体" w:eastAsia="宋体" w:cs="宋体"/>
          <w:color w:val="auto"/>
          <w:sz w:val="24"/>
          <w:highlight w:val="none"/>
        </w:rPr>
      </w:pPr>
    </w:p>
    <w:p>
      <w:pPr>
        <w:pageBreakBefore w:val="0"/>
        <w:kinsoku/>
        <w:overflowPunct/>
        <w:autoSpaceDE w:val="0"/>
        <w:autoSpaceDN w:val="0"/>
        <w:bidi w:val="0"/>
        <w:adjustRightInd w:val="0"/>
        <w:spacing w:line="360" w:lineRule="auto"/>
        <w:ind w:firstLine="602" w:firstLineChars="200"/>
        <w:outlineLvl w:val="0"/>
        <w:rPr>
          <w:rFonts w:hint="default" w:ascii="宋体" w:hAnsi="宋体" w:eastAsia="宋体" w:cs="宋体"/>
          <w:b/>
          <w:bCs/>
          <w:color w:val="auto"/>
          <w:sz w:val="30"/>
          <w:szCs w:val="30"/>
          <w:highlight w:val="none"/>
          <w:lang w:val="en-US" w:eastAsia="zh-CN"/>
        </w:rPr>
      </w:pPr>
      <w:bookmarkStart w:id="5" w:name="_Toc18643"/>
      <w:bookmarkStart w:id="6" w:name="_Toc15185"/>
      <w:bookmarkStart w:id="7" w:name="_Toc19689"/>
      <w:bookmarkStart w:id="8" w:name="_Toc21070"/>
      <w:r>
        <w:rPr>
          <w:rFonts w:hint="eastAsia" w:ascii="宋体" w:hAnsi="宋体" w:eastAsia="宋体" w:cs="宋体"/>
          <w:b/>
          <w:bCs/>
          <w:color w:val="auto"/>
          <w:sz w:val="30"/>
          <w:szCs w:val="30"/>
          <w:highlight w:val="none"/>
        </w:rPr>
        <w:t>招</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标</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人：郑州航空港</w:t>
      </w:r>
      <w:r>
        <w:rPr>
          <w:rFonts w:hint="eastAsia" w:ascii="宋体" w:hAnsi="宋体" w:cs="宋体"/>
          <w:b/>
          <w:bCs/>
          <w:color w:val="auto"/>
          <w:sz w:val="30"/>
          <w:szCs w:val="30"/>
          <w:highlight w:val="none"/>
          <w:lang w:val="en-US" w:eastAsia="zh-CN"/>
        </w:rPr>
        <w:t>经济综合实验区教育文化卫生体育局</w:t>
      </w:r>
      <w:bookmarkEnd w:id="5"/>
      <w:bookmarkEnd w:id="6"/>
      <w:bookmarkEnd w:id="7"/>
      <w:bookmarkEnd w:id="8"/>
    </w:p>
    <w:p>
      <w:pPr>
        <w:pageBreakBefore w:val="0"/>
        <w:kinsoku/>
        <w:overflowPunct/>
        <w:autoSpaceDE w:val="0"/>
        <w:autoSpaceDN w:val="0"/>
        <w:bidi w:val="0"/>
        <w:adjustRightInd w:val="0"/>
        <w:spacing w:line="360" w:lineRule="auto"/>
        <w:ind w:firstLine="602" w:firstLineChars="200"/>
        <w:outlineLvl w:val="0"/>
        <w:rPr>
          <w:rFonts w:hint="default" w:ascii="宋体" w:hAnsi="宋体" w:eastAsia="宋体" w:cs="宋体"/>
          <w:b/>
          <w:bCs/>
          <w:color w:val="auto"/>
          <w:sz w:val="30"/>
          <w:szCs w:val="30"/>
          <w:highlight w:val="none"/>
          <w:lang w:val="en-US" w:eastAsia="zh-CN"/>
        </w:rPr>
      </w:pPr>
      <w:bookmarkStart w:id="9" w:name="_Toc20468"/>
      <w:bookmarkStart w:id="10" w:name="_Toc14081"/>
      <w:bookmarkStart w:id="11" w:name="_Toc17928"/>
      <w:bookmarkStart w:id="12" w:name="_Toc13550"/>
      <w:r>
        <w:rPr>
          <w:rFonts w:hint="eastAsia" w:ascii="宋体" w:hAnsi="宋体" w:eastAsia="宋体" w:cs="宋体"/>
          <w:b/>
          <w:bCs/>
          <w:color w:val="auto"/>
          <w:sz w:val="30"/>
          <w:szCs w:val="30"/>
          <w:highlight w:val="none"/>
        </w:rPr>
        <w:t>代理机构：</w:t>
      </w:r>
      <w:bookmarkEnd w:id="9"/>
      <w:bookmarkEnd w:id="10"/>
      <w:r>
        <w:rPr>
          <w:rFonts w:hint="eastAsia" w:ascii="宋体" w:hAnsi="宋体" w:cs="宋体"/>
          <w:b/>
          <w:bCs/>
          <w:color w:val="auto"/>
          <w:sz w:val="30"/>
          <w:szCs w:val="30"/>
          <w:highlight w:val="none"/>
          <w:lang w:val="en-US" w:eastAsia="zh-CN"/>
        </w:rPr>
        <w:t>龙达恒信工程咨询有限公司</w:t>
      </w:r>
      <w:bookmarkEnd w:id="11"/>
      <w:bookmarkEnd w:id="12"/>
    </w:p>
    <w:p>
      <w:pPr>
        <w:pageBreakBefore w:val="0"/>
        <w:kinsoku/>
        <w:overflowPunct/>
        <w:bidi w:val="0"/>
        <w:spacing w:line="360" w:lineRule="auto"/>
        <w:ind w:firstLine="602" w:firstLineChars="200"/>
        <w:outlineLvl w:val="0"/>
        <w:rPr>
          <w:rFonts w:hint="eastAsia" w:ascii="宋体" w:hAnsi="宋体" w:eastAsia="宋体" w:cs="宋体"/>
          <w:b/>
          <w:bCs/>
          <w:color w:val="auto"/>
          <w:sz w:val="28"/>
          <w:szCs w:val="28"/>
          <w:highlight w:val="none"/>
        </w:rPr>
        <w:sectPr>
          <w:headerReference r:id="rId4" w:type="first"/>
          <w:footerReference r:id="rId6" w:type="first"/>
          <w:headerReference r:id="rId3" w:type="default"/>
          <w:footerReference r:id="rId5" w:type="default"/>
          <w:pgSz w:w="11911" w:h="16838"/>
          <w:pgMar w:top="1440" w:right="1083" w:bottom="1440" w:left="1083" w:header="1157" w:footer="737"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13" w:name="_Toc14919"/>
      <w:bookmarkStart w:id="14" w:name="_Toc32083"/>
      <w:bookmarkStart w:id="15" w:name="_Toc31417"/>
      <w:bookmarkStart w:id="16" w:name="_Toc26297"/>
      <w:r>
        <w:rPr>
          <w:rFonts w:hint="eastAsia" w:ascii="宋体" w:hAnsi="宋体" w:eastAsia="宋体" w:cs="宋体"/>
          <w:b/>
          <w:bCs/>
          <w:color w:val="auto"/>
          <w:sz w:val="30"/>
          <w:szCs w:val="30"/>
          <w:highlight w:val="none"/>
        </w:rPr>
        <w:t>日</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期：二〇二</w:t>
      </w:r>
      <w:r>
        <w:rPr>
          <w:rFonts w:hint="eastAsia" w:ascii="宋体" w:hAnsi="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三</w:t>
      </w:r>
      <w:r>
        <w:rPr>
          <w:rFonts w:hint="eastAsia" w:ascii="宋体" w:hAnsi="宋体" w:eastAsia="宋体" w:cs="宋体"/>
          <w:b/>
          <w:bCs/>
          <w:color w:val="auto"/>
          <w:sz w:val="30"/>
          <w:szCs w:val="30"/>
          <w:highlight w:val="none"/>
          <w:lang w:val="en-US" w:eastAsia="zh-CN"/>
        </w:rPr>
        <w:t>月</w:t>
      </w:r>
      <w:bookmarkEnd w:id="13"/>
      <w:bookmarkEnd w:id="14"/>
      <w:bookmarkEnd w:id="15"/>
      <w:bookmarkEnd w:id="16"/>
    </w:p>
    <w:sdt>
      <w:sdtPr>
        <w:rPr>
          <w:rFonts w:hint="eastAsia" w:ascii="宋体" w:hAnsi="宋体" w:eastAsia="宋体" w:cs="宋体"/>
          <w:b/>
          <w:bCs/>
          <w:color w:val="auto"/>
          <w:sz w:val="32"/>
          <w:szCs w:val="32"/>
          <w:highlight w:val="none"/>
        </w:rPr>
        <w:id w:val="147481184"/>
        <w15:color w:val="DBDBDB"/>
        <w:docPartObj>
          <w:docPartGallery w:val="Table of Contents"/>
          <w:docPartUnique/>
        </w:docPartObj>
      </w:sdtPr>
      <w:sdtEndPr>
        <w:rPr>
          <w:rFonts w:hint="eastAsia" w:ascii="宋体" w:hAnsi="宋体" w:eastAsia="宋体" w:cs="宋体"/>
          <w:b/>
          <w:bCs/>
          <w:color w:val="auto"/>
          <w:sz w:val="32"/>
          <w:szCs w:val="32"/>
          <w:highlight w:val="none"/>
        </w:rPr>
      </w:sdtEndPr>
      <w:sdtContent>
        <w:p>
          <w:pPr>
            <w:pageBreakBefore w:val="0"/>
            <w:kinsoku/>
            <w:overflowPunct/>
            <w:bidi w:val="0"/>
            <w:spacing w:line="360" w:lineRule="auto"/>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sz w:val="32"/>
              <w:szCs w:val="32"/>
              <w:highlight w:val="none"/>
            </w:rPr>
            <w:t xml:space="preserve">目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"1-2" \h \u </w:instrText>
          </w:r>
          <w:r>
            <w:rPr>
              <w:rFonts w:hint="eastAsia" w:ascii="宋体" w:hAnsi="宋体" w:eastAsia="宋体" w:cs="宋体"/>
              <w:color w:val="auto"/>
              <w:sz w:val="21"/>
              <w:szCs w:val="21"/>
              <w:highlight w:val="none"/>
            </w:rPr>
            <w:fldChar w:fldCharType="separate"/>
          </w:r>
        </w:p>
        <w:p>
          <w:pPr>
            <w:pStyle w:val="26"/>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_Toc1671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第一章 招标公告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_Toc1671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8"/>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_Toc22442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lang w:val="en-US" w:eastAsia="zh-CN"/>
            </w:rPr>
            <w:t>一、</w:t>
          </w:r>
          <w:r>
            <w:rPr>
              <w:rFonts w:hint="eastAsia" w:ascii="宋体" w:hAnsi="宋体" w:eastAsia="宋体" w:cs="宋体"/>
              <w:bCs/>
              <w:sz w:val="28"/>
              <w:szCs w:val="28"/>
              <w:highlight w:val="none"/>
            </w:rPr>
            <w:t>招标条件</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_Toc22442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8"/>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_Toc18026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lang w:val="en-US" w:eastAsia="zh-CN"/>
            </w:rPr>
            <w:t>二、</w:t>
          </w:r>
          <w:r>
            <w:rPr>
              <w:rFonts w:hint="eastAsia" w:ascii="宋体" w:hAnsi="宋体" w:eastAsia="宋体" w:cs="宋体"/>
              <w:bCs/>
              <w:sz w:val="28"/>
              <w:szCs w:val="28"/>
              <w:highlight w:val="none"/>
            </w:rPr>
            <w:t>项目概况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_Toc18026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8"/>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_Toc4859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lang w:val="en-US" w:eastAsia="zh-CN"/>
            </w:rPr>
            <w:t>三、</w:t>
          </w:r>
          <w:r>
            <w:rPr>
              <w:rFonts w:hint="eastAsia" w:ascii="宋体" w:hAnsi="宋体" w:eastAsia="宋体" w:cs="宋体"/>
              <w:bCs/>
              <w:sz w:val="28"/>
              <w:szCs w:val="28"/>
              <w:highlight w:val="none"/>
            </w:rPr>
            <w:t>投标人资格要求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_Toc4859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8"/>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_Toc20296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lang w:val="en-US" w:eastAsia="zh-CN"/>
            </w:rPr>
            <w:t>四、</w:t>
          </w:r>
          <w:r>
            <w:rPr>
              <w:rFonts w:hint="eastAsia" w:ascii="宋体" w:hAnsi="宋体" w:eastAsia="宋体" w:cs="宋体"/>
              <w:bCs/>
              <w:sz w:val="28"/>
              <w:szCs w:val="28"/>
              <w:highlight w:val="none"/>
            </w:rPr>
            <w:t>招标文件的获取</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_Toc20296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8"/>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_Toc12053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lang w:val="en-US" w:eastAsia="zh-CN"/>
            </w:rPr>
            <w:t>五、</w:t>
          </w:r>
          <w:r>
            <w:rPr>
              <w:rFonts w:hint="eastAsia" w:ascii="宋体" w:hAnsi="宋体" w:eastAsia="宋体" w:cs="宋体"/>
              <w:bCs/>
              <w:sz w:val="28"/>
              <w:szCs w:val="28"/>
              <w:highlight w:val="none"/>
            </w:rPr>
            <w:t>投标截止时间及地点</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_Toc12053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8"/>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_Toc8580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lang w:val="en-US" w:eastAsia="zh-CN"/>
            </w:rPr>
            <w:t>六</w:t>
          </w:r>
          <w:r>
            <w:rPr>
              <w:rFonts w:hint="eastAsia" w:ascii="宋体" w:hAnsi="宋体" w:eastAsia="宋体" w:cs="宋体"/>
              <w:sz w:val="28"/>
              <w:szCs w:val="28"/>
              <w:highlight w:val="none"/>
            </w:rPr>
            <w:t>、开标时间及地点</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_Toc8580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8"/>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_Toc25828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lang w:val="en-US" w:eastAsia="zh-CN"/>
            </w:rPr>
            <w:t>七、</w:t>
          </w:r>
          <w:r>
            <w:rPr>
              <w:rFonts w:hint="eastAsia" w:ascii="宋体" w:hAnsi="宋体" w:eastAsia="宋体" w:cs="宋体"/>
              <w:bCs/>
              <w:sz w:val="28"/>
              <w:szCs w:val="28"/>
              <w:highlight w:val="none"/>
            </w:rPr>
            <w:t>发布公告的媒介</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_Toc25828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8"/>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_Toc6702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lang w:val="en-US" w:eastAsia="zh-CN"/>
            </w:rPr>
            <w:t>八、</w:t>
          </w:r>
          <w:r>
            <w:rPr>
              <w:rFonts w:hint="eastAsia" w:ascii="宋体" w:hAnsi="宋体" w:eastAsia="宋体" w:cs="宋体"/>
              <w:bCs/>
              <w:sz w:val="28"/>
              <w:szCs w:val="28"/>
              <w:highlight w:val="none"/>
            </w:rPr>
            <w:t>联系方式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_Toc6702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6"/>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_Toc19909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第二章 投标人须知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_Toc19909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6"/>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_Toc908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投标人须知前附表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_Toc908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8"/>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_Toc20414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1.总则</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_Toc20414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20</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8"/>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_Toc17670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2.招标文件</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_Toc17670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22</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8"/>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_Toc12355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3.投标文件</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_Toc12355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23</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8"/>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_Toc17214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4.投标</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_Toc17214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26</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8"/>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_Toc10856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5.开标</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_Toc10856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27</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8"/>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_Toc31241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6.评标</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_Toc31241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28</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8"/>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_Toc2935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7.合同授予</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_Toc2935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28</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8"/>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_Toc26414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8重新招标和不再招标</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_Toc26414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29</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8"/>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_Toc12596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9.纪律和监督</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_Toc12596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29</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6"/>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_Toc21521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 xml:space="preserve">第三章 </w:t>
          </w:r>
          <w:r>
            <w:rPr>
              <w:rFonts w:hint="eastAsia" w:ascii="宋体" w:hAnsi="宋体" w:eastAsia="宋体" w:cs="宋体"/>
              <w:sz w:val="28"/>
              <w:szCs w:val="28"/>
              <w:highlight w:val="none"/>
            </w:rPr>
            <w:t>评标办法（综合评估法）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_Toc21521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31</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6"/>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_Toc20772 </w:instrText>
          </w:r>
          <w:r>
            <w:rPr>
              <w:rFonts w:hint="eastAsia" w:ascii="宋体" w:hAnsi="宋体" w:eastAsia="宋体" w:cs="宋体"/>
              <w:bCs/>
              <w:sz w:val="28"/>
              <w:szCs w:val="28"/>
              <w:highlight w:val="none"/>
            </w:rPr>
            <w:fldChar w:fldCharType="separate"/>
          </w:r>
          <w:r>
            <w:rPr>
              <w:rFonts w:hint="eastAsia" w:ascii="宋体" w:hAnsi="宋体" w:eastAsia="宋体" w:cs="宋体"/>
              <w:bCs/>
              <w:kern w:val="44"/>
              <w:sz w:val="28"/>
              <w:szCs w:val="28"/>
              <w:highlight w:val="none"/>
              <w:lang w:val="en-US" w:eastAsia="zh-CN" w:bidi="ar-SA"/>
            </w:rPr>
            <w:t>第四章 定标办法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_Toc20772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42</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6"/>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_Toc5816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lang w:val="en-US" w:eastAsia="zh-CN" w:bidi="ar-SA"/>
            </w:rPr>
            <w:t>第五章  合同条款及格式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_Toc5816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45</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6"/>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_Toc29946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lang w:val="en-US" w:eastAsia="zh-CN" w:bidi="ar-SA"/>
            </w:rPr>
            <w:t>第六章  委托人要求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_Toc29946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73</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26"/>
            <w:tabs>
              <w:tab w:val="right" w:leader="dot" w:pos="9745"/>
            </w:tabs>
            <w:spacing w:line="360" w:lineRule="auto"/>
            <w:rPr>
              <w:rFonts w:hint="eastAsia" w:ascii="宋体" w:hAnsi="宋体" w:eastAsia="宋体" w:cs="宋体"/>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sz w:val="28"/>
              <w:szCs w:val="28"/>
              <w:highlight w:val="none"/>
            </w:rPr>
            <w:instrText xml:space="preserve"> HYPERLINK \l _Toc30808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七</w:t>
          </w:r>
          <w:r>
            <w:rPr>
              <w:rFonts w:hint="eastAsia" w:ascii="宋体" w:hAnsi="宋体" w:eastAsia="宋体" w:cs="宋体"/>
              <w:sz w:val="28"/>
              <w:szCs w:val="28"/>
              <w:highlight w:val="none"/>
            </w:rPr>
            <w:t>章  投标文件格式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_Toc30808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75</w:t>
          </w:r>
          <w:r>
            <w:rPr>
              <w:rFonts w:hint="eastAsia" w:ascii="宋体" w:hAnsi="宋体" w:eastAsia="宋体" w:cs="宋体"/>
              <w:sz w:val="28"/>
              <w:szCs w:val="28"/>
              <w:highlight w:val="none"/>
            </w:rPr>
            <w:fldChar w:fldCharType="end"/>
          </w:r>
          <w:r>
            <w:rPr>
              <w:rFonts w:hint="eastAsia" w:ascii="宋体" w:hAnsi="宋体" w:eastAsia="宋体" w:cs="宋体"/>
              <w:bCs/>
              <w:color w:val="auto"/>
              <w:sz w:val="28"/>
              <w:szCs w:val="28"/>
              <w:highlight w:val="none"/>
            </w:rPr>
            <w:fldChar w:fldCharType="end"/>
          </w:r>
        </w:p>
        <w:p>
          <w:pPr>
            <w:pageBreakBefore w:val="0"/>
            <w:kinsoku/>
            <w:overflowPunct/>
            <w:bidi w:val="0"/>
            <w:spacing w:line="360" w:lineRule="auto"/>
            <w:jc w:val="center"/>
            <w:rPr>
              <w:rFonts w:hint="eastAsia" w:ascii="宋体" w:hAnsi="宋体" w:eastAsia="宋体" w:cs="宋体"/>
              <w:color w:val="auto"/>
              <w:highlight w:val="none"/>
            </w:rPr>
          </w:pPr>
          <w:r>
            <w:rPr>
              <w:rFonts w:hint="eastAsia" w:ascii="宋体" w:hAnsi="宋体" w:eastAsia="宋体" w:cs="宋体"/>
              <w:bCs/>
              <w:color w:val="auto"/>
              <w:szCs w:val="21"/>
              <w:highlight w:val="none"/>
            </w:rPr>
            <w:fldChar w:fldCharType="end"/>
          </w:r>
        </w:p>
      </w:sdtContent>
    </w:sdt>
    <w:p>
      <w:pPr>
        <w:pStyle w:val="4"/>
        <w:pageBreakBefore w:val="0"/>
        <w:kinsoku/>
        <w:overflowPunct/>
        <w:bidi w:val="0"/>
        <w:spacing w:line="360" w:lineRule="auto"/>
        <w:jc w:val="center"/>
        <w:outlineLvl w:val="9"/>
        <w:rPr>
          <w:rFonts w:hint="eastAsia" w:ascii="宋体" w:hAnsi="宋体" w:eastAsia="宋体" w:cs="宋体"/>
          <w:color w:val="auto"/>
          <w:highlight w:val="none"/>
        </w:rPr>
        <w:sectPr>
          <w:headerReference r:id="rId7" w:type="default"/>
          <w:footerReference r:id="rId8" w:type="default"/>
          <w:pgSz w:w="11911" w:h="16838"/>
          <w:pgMar w:top="1440" w:right="1083" w:bottom="1440" w:left="1083" w:header="1157" w:footer="737"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17" w:name="_Toc17260"/>
      <w:bookmarkStart w:id="18" w:name="_Toc4206"/>
      <w:bookmarkStart w:id="19" w:name="_Toc6581"/>
      <w:bookmarkStart w:id="20" w:name="_Toc22673"/>
      <w:bookmarkStart w:id="21" w:name="_Toc31657"/>
    </w:p>
    <w:p>
      <w:pPr>
        <w:pStyle w:val="4"/>
        <w:pageBreakBefore w:val="0"/>
        <w:kinsoku/>
        <w:overflowPunct/>
        <w:bidi w:val="0"/>
        <w:spacing w:line="360" w:lineRule="auto"/>
        <w:jc w:val="center"/>
        <w:rPr>
          <w:rFonts w:hint="eastAsia" w:ascii="宋体" w:hAnsi="宋体" w:eastAsia="宋体" w:cs="宋体"/>
          <w:color w:val="auto"/>
          <w:sz w:val="24"/>
          <w:highlight w:val="none"/>
        </w:rPr>
      </w:pPr>
      <w:bookmarkStart w:id="22" w:name="_Toc1671"/>
      <w:r>
        <w:rPr>
          <w:rFonts w:hint="eastAsia" w:ascii="宋体" w:hAnsi="宋体" w:eastAsia="宋体" w:cs="宋体"/>
          <w:color w:val="auto"/>
          <w:highlight w:val="none"/>
        </w:rPr>
        <w:t>第一章 招标公告</w:t>
      </w:r>
      <w:bookmarkEnd w:id="17"/>
      <w:bookmarkEnd w:id="18"/>
      <w:bookmarkEnd w:id="19"/>
      <w:bookmarkEnd w:id="20"/>
      <w:bookmarkEnd w:id="21"/>
      <w:bookmarkEnd w:id="22"/>
    </w:p>
    <w:p>
      <w:pPr>
        <w:pageBreakBefore w:val="0"/>
        <w:kinsoku/>
        <w:overflowPunct/>
        <w:bidi w:val="0"/>
        <w:spacing w:line="360" w:lineRule="auto"/>
        <w:jc w:val="center"/>
        <w:outlineLvl w:val="1"/>
        <w:rPr>
          <w:rFonts w:hint="eastAsia" w:ascii="宋体" w:hAnsi="宋体" w:eastAsia="宋体" w:cs="宋体"/>
          <w:b/>
          <w:bCs/>
          <w:color w:val="auto"/>
          <w:sz w:val="32"/>
          <w:szCs w:val="32"/>
          <w:highlight w:val="none"/>
        </w:rPr>
      </w:pPr>
      <w:bookmarkStart w:id="23" w:name="_Toc19582"/>
      <w:bookmarkStart w:id="24" w:name="_Toc7299"/>
      <w:bookmarkStart w:id="25" w:name="_Toc18267"/>
      <w:bookmarkStart w:id="26" w:name="_Toc30559"/>
      <w:bookmarkStart w:id="27" w:name="_Toc13442"/>
      <w:bookmarkStart w:id="28" w:name="_Toc31391"/>
      <w:bookmarkStart w:id="29" w:name="_Toc28646"/>
      <w:bookmarkStart w:id="30" w:name="_Toc30278"/>
      <w:bookmarkStart w:id="31" w:name="_Toc487"/>
      <w:bookmarkStart w:id="32" w:name="_Toc2095"/>
      <w:bookmarkStart w:id="33" w:name="_Toc15251"/>
      <w:bookmarkStart w:id="34" w:name="_Toc22685"/>
      <w:bookmarkStart w:id="35" w:name="_Toc23611"/>
      <w:bookmarkStart w:id="36" w:name="_Toc21821"/>
      <w:bookmarkStart w:id="37" w:name="_Toc252"/>
      <w:bookmarkStart w:id="38" w:name="_Toc3721"/>
      <w:bookmarkStart w:id="39" w:name="_Toc6935"/>
      <w:bookmarkStart w:id="40" w:name="_Toc247513950"/>
      <w:bookmarkStart w:id="41" w:name="_Toc152042303"/>
      <w:bookmarkStart w:id="42" w:name="_Toc521685531"/>
      <w:bookmarkStart w:id="43" w:name="_Toc144974495"/>
      <w:bookmarkStart w:id="44" w:name="_Toc152045527"/>
      <w:bookmarkStart w:id="45" w:name="_Toc13304_WPSOffice_Level1"/>
      <w:bookmarkStart w:id="46" w:name="_Toc3145_WPSOffice_Level1"/>
      <w:bookmarkStart w:id="47" w:name="_Toc247527551"/>
      <w:bookmarkStart w:id="48" w:name="_Toc13608"/>
      <w:r>
        <w:rPr>
          <w:rFonts w:hint="eastAsia" w:ascii="宋体" w:hAnsi="宋体" w:cs="宋体"/>
          <w:b/>
          <w:bCs/>
          <w:color w:val="auto"/>
          <w:sz w:val="32"/>
          <w:szCs w:val="32"/>
          <w:highlight w:val="none"/>
          <w:lang w:val="en-US" w:eastAsia="zh-CN"/>
        </w:rPr>
        <w:t>郑州航空港经济综合实验区河东六号安置区第四幼儿园（瑞和幼儿园）建设项目</w:t>
      </w:r>
      <w:r>
        <w:rPr>
          <w:rFonts w:hint="eastAsia" w:ascii="宋体" w:hAnsi="宋体" w:eastAsia="宋体" w:cs="宋体"/>
          <w:b/>
          <w:bCs/>
          <w:color w:val="auto"/>
          <w:sz w:val="32"/>
          <w:szCs w:val="32"/>
          <w:highlight w:val="none"/>
        </w:rPr>
        <w:t>招标公告</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4"/>
          <w:highlight w:val="none"/>
        </w:rPr>
      </w:pPr>
      <w:bookmarkStart w:id="49" w:name="_Toc26813"/>
      <w:bookmarkStart w:id="50" w:name="_Toc25732"/>
      <w:bookmarkStart w:id="51" w:name="_Toc22442"/>
      <w:bookmarkStart w:id="52" w:name="_Toc17465"/>
      <w:bookmarkStart w:id="53" w:name="_Toc30358"/>
      <w:bookmarkStart w:id="54" w:name="_Toc11672"/>
      <w:bookmarkStart w:id="55" w:name="_Toc31393"/>
      <w:bookmarkStart w:id="56" w:name="_Toc10519"/>
      <w:bookmarkStart w:id="57" w:name="_Toc24365"/>
      <w:bookmarkStart w:id="58" w:name="_Toc30095"/>
      <w:bookmarkStart w:id="59" w:name="_Toc23549"/>
      <w:bookmarkStart w:id="60" w:name="_Toc16215"/>
      <w:bookmarkStart w:id="61" w:name="_Toc26508"/>
      <w:bookmarkStart w:id="62" w:name="_Toc3589"/>
      <w:bookmarkStart w:id="63" w:name="_Toc31925"/>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招标条件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本招标项目</w:t>
      </w:r>
      <w:r>
        <w:rPr>
          <w:rFonts w:hint="eastAsia" w:ascii="宋体" w:hAnsi="宋体" w:cs="宋体"/>
          <w:color w:val="auto"/>
          <w:sz w:val="24"/>
          <w:highlight w:val="none"/>
          <w:lang w:eastAsia="zh-CN"/>
        </w:rPr>
        <w:t>郑州航空港经济综合实验区河东六号安置区第四幼儿园（瑞和幼儿园）建设项目</w:t>
      </w:r>
      <w:r>
        <w:rPr>
          <w:rFonts w:hint="eastAsia" w:ascii="宋体" w:hAnsi="宋体" w:eastAsia="宋体" w:cs="宋体"/>
          <w:color w:val="auto"/>
          <w:sz w:val="24"/>
          <w:highlight w:val="none"/>
        </w:rPr>
        <w:t>已由郑州航空港经济综合实验区经济发展局（统计局）以郑港经发投资[2023]</w:t>
      </w:r>
      <w:r>
        <w:rPr>
          <w:rFonts w:hint="eastAsia" w:ascii="宋体" w:hAnsi="宋体" w:cs="宋体"/>
          <w:color w:val="auto"/>
          <w:sz w:val="24"/>
          <w:highlight w:val="none"/>
          <w:lang w:val="en-US" w:eastAsia="zh-CN"/>
        </w:rPr>
        <w:t>149</w:t>
      </w:r>
      <w:r>
        <w:rPr>
          <w:rFonts w:hint="eastAsia" w:ascii="宋体" w:hAnsi="宋体" w:eastAsia="宋体" w:cs="宋体"/>
          <w:color w:val="auto"/>
          <w:sz w:val="24"/>
          <w:highlight w:val="none"/>
        </w:rPr>
        <w:t>号批准建设，项目业主为郑州航空港经济综合实验区教育文化卫生体育局，建设资金来自财政资金，出资比例为100%，招标人为郑州航空港经济综合实验区教育文化卫生体育局。项目已具备招标条件，现对该项目的</w:t>
      </w:r>
      <w:r>
        <w:rPr>
          <w:rFonts w:hint="eastAsia" w:ascii="宋体" w:hAnsi="宋体" w:cs="宋体"/>
          <w:color w:val="auto"/>
          <w:sz w:val="24"/>
          <w:highlight w:val="none"/>
          <w:lang w:val="en-US" w:eastAsia="zh-CN"/>
        </w:rPr>
        <w:t>监理</w:t>
      </w:r>
      <w:r>
        <w:rPr>
          <w:rFonts w:hint="eastAsia" w:ascii="宋体" w:hAnsi="宋体" w:eastAsia="宋体" w:cs="宋体"/>
          <w:color w:val="auto"/>
          <w:sz w:val="24"/>
          <w:highlight w:val="none"/>
        </w:rPr>
        <w:t>进行公开招标。</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4"/>
          <w:highlight w:val="none"/>
        </w:rPr>
      </w:pPr>
      <w:bookmarkStart w:id="64" w:name="_Toc7221"/>
      <w:bookmarkStart w:id="65" w:name="_Toc30439"/>
      <w:bookmarkStart w:id="66" w:name="_Toc8191"/>
      <w:bookmarkStart w:id="67" w:name="_Toc31351"/>
      <w:bookmarkStart w:id="68" w:name="_Toc25394"/>
      <w:bookmarkStart w:id="69" w:name="_Toc3717"/>
      <w:bookmarkStart w:id="70" w:name="_Toc31677"/>
      <w:bookmarkStart w:id="71" w:name="_Toc22153"/>
      <w:bookmarkStart w:id="72" w:name="_Toc18026"/>
      <w:bookmarkStart w:id="73" w:name="_Toc8250"/>
      <w:bookmarkStart w:id="74" w:name="_Toc6578"/>
      <w:bookmarkStart w:id="75" w:name="_Toc20634"/>
      <w:bookmarkStart w:id="76" w:name="_Toc17226"/>
      <w:bookmarkStart w:id="77" w:name="_Toc3034"/>
      <w:bookmarkStart w:id="78" w:name="_Toc16216"/>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项目概况</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项目名称：</w:t>
      </w:r>
      <w:r>
        <w:rPr>
          <w:rFonts w:hint="eastAsia" w:ascii="宋体" w:hAnsi="宋体" w:cs="宋体"/>
          <w:color w:val="auto"/>
          <w:sz w:val="24"/>
          <w:highlight w:val="none"/>
          <w:lang w:val="en-US" w:eastAsia="zh-CN"/>
        </w:rPr>
        <w:t>郑州航空港经济综合实验区河东六号安置区第四幼儿园（瑞和幼儿园）建设项目监理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2.招标编号：</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项目地点：</w:t>
      </w:r>
      <w:r>
        <w:rPr>
          <w:rFonts w:hint="eastAsia" w:ascii="宋体" w:hAnsi="宋体" w:cs="宋体"/>
          <w:color w:val="auto"/>
          <w:sz w:val="24"/>
          <w:highlight w:val="none"/>
          <w:lang w:val="en-US" w:eastAsia="zh-CN"/>
        </w:rPr>
        <w:t>郑州航空港经济综合实验区祥里路以北，瑞和街以东。</w:t>
      </w:r>
    </w:p>
    <w:p>
      <w:pPr>
        <w:pageBreakBefore w:val="0"/>
        <w:kinsoku/>
        <w:overflowPunct/>
        <w:bidi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4.项目内容：建设规模为项目按 9 班全日制幼儿园建设，其中：大班 3 个，中班 3 个，小班3 个。小班（3 周岁——4 周岁）25 人/班；中班（4 周岁——5 周岁）30人/班；大班（5 周岁——6 周岁）35 人/班，本项目可纳生源 270 人。建设内容：项目规划占地面积 7329.97 ㎡（约合 10.99 亩），设计总建筑面积4100.00 ㎡，地上主楼建筑面积 3800.00 ㎡（1 栋 3 层），地下建筑面积300.00 ㎡（设备用房），同时配套建设大门、围墙、室外活动场地、道路硬化、绿化以及水、电、通讯等配套设施工程。本次招标项目共划分为一个标段。</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.资金来源：</w:t>
      </w:r>
      <w:r>
        <w:rPr>
          <w:rFonts w:hint="eastAsia" w:ascii="宋体" w:hAnsi="宋体" w:cs="宋体"/>
          <w:color w:val="auto"/>
          <w:sz w:val="24"/>
          <w:highlight w:val="none"/>
          <w:lang w:val="en-US" w:eastAsia="zh-CN"/>
        </w:rPr>
        <w:t>财政</w:t>
      </w:r>
      <w:r>
        <w:rPr>
          <w:rFonts w:hint="eastAsia" w:ascii="宋体" w:hAnsi="宋体" w:eastAsia="宋体" w:cs="宋体"/>
          <w:color w:val="auto"/>
          <w:sz w:val="24"/>
          <w:highlight w:val="none"/>
          <w:lang w:val="en-US" w:eastAsia="zh-CN"/>
        </w:rPr>
        <w:t>资金，已落实。</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6.招标控制价：</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招标范围：郑州航空港经济综合实验区河东六号安置区第四幼儿园（瑞和幼儿园）建设项目施工准备阶段、施工阶段、项目移交阶段及保修期全过程监理（包含本项目所有施工内容的监理(含人防工程）以及招标人平行发包的电力工程监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.监理服务期限：</w:t>
      </w:r>
      <w:r>
        <w:rPr>
          <w:rFonts w:hint="eastAsia" w:ascii="宋体" w:hAnsi="宋体" w:cs="宋体"/>
          <w:color w:val="auto"/>
          <w:sz w:val="24"/>
          <w:highlight w:val="none"/>
          <w:lang w:val="en-US" w:eastAsia="zh-CN"/>
        </w:rPr>
        <w:t>提供项目施工准备阶段、施工阶段、项目移交阶段及保修期全过程监理；若出现施工合同工期延期，不计取监理延期费用。</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质量</w:t>
      </w:r>
      <w:r>
        <w:rPr>
          <w:rFonts w:hint="eastAsia" w:ascii="宋体" w:hAnsi="宋体" w:cs="宋体"/>
          <w:color w:val="auto"/>
          <w:sz w:val="24"/>
          <w:highlight w:val="none"/>
          <w:lang w:val="en-US" w:eastAsia="zh-CN"/>
        </w:rPr>
        <w:t>控制目标</w:t>
      </w:r>
      <w:r>
        <w:rPr>
          <w:rFonts w:hint="eastAsia" w:ascii="宋体" w:hAnsi="宋体" w:eastAsia="宋体" w:cs="宋体"/>
          <w:color w:val="auto"/>
          <w:sz w:val="24"/>
          <w:highlight w:val="none"/>
        </w:rPr>
        <w:t>：符合国家现行施工质量验收合格标准</w:t>
      </w:r>
      <w:r>
        <w:rPr>
          <w:rFonts w:hint="eastAsia" w:ascii="宋体" w:hAnsi="宋体" w:eastAsia="宋体" w:cs="宋体"/>
          <w:color w:val="auto"/>
          <w:sz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本项目是否接受联合体：否</w:t>
      </w:r>
      <w:r>
        <w:rPr>
          <w:rFonts w:hint="eastAsia" w:ascii="宋体" w:hAnsi="宋体" w:eastAsia="宋体" w:cs="宋体"/>
          <w:color w:val="auto"/>
          <w:sz w:val="24"/>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2"/>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12.是否专门面向中小企业:否。</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4"/>
          <w:highlight w:val="none"/>
        </w:rPr>
      </w:pPr>
      <w:bookmarkStart w:id="79" w:name="_Toc11434"/>
      <w:bookmarkStart w:id="80" w:name="_Toc13329"/>
      <w:bookmarkStart w:id="81" w:name="_Toc16559"/>
      <w:bookmarkStart w:id="82" w:name="_Toc4859"/>
      <w:bookmarkStart w:id="83" w:name="_Toc28328"/>
      <w:bookmarkStart w:id="84" w:name="_Toc3238"/>
      <w:bookmarkStart w:id="85" w:name="_Toc8033"/>
      <w:bookmarkStart w:id="86" w:name="_Toc30374"/>
      <w:bookmarkStart w:id="87" w:name="_Toc13356"/>
      <w:bookmarkStart w:id="88" w:name="_Toc18308"/>
      <w:bookmarkStart w:id="89" w:name="_Toc7029"/>
      <w:bookmarkStart w:id="90" w:name="_Toc13004"/>
      <w:bookmarkStart w:id="91" w:name="_Toc18142"/>
      <w:bookmarkStart w:id="92" w:name="_Toc2229"/>
      <w:bookmarkStart w:id="93" w:name="_Toc15117"/>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投标人资格要求</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pStyle w:val="57"/>
        <w:keepNext w:val="0"/>
        <w:keepLines w:val="0"/>
        <w:pageBreakBefore w:val="0"/>
        <w:widowControl w:val="0"/>
        <w:numPr>
          <w:ilvl w:val="0"/>
          <w:numId w:val="0"/>
        </w:numPr>
        <w:tabs>
          <w:tab w:val="left" w:pos="999"/>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bookmarkStart w:id="94" w:name="_Toc20560"/>
      <w:bookmarkStart w:id="95" w:name="_Toc16522"/>
      <w:bookmarkStart w:id="96" w:name="_Toc14290"/>
      <w:bookmarkStart w:id="97" w:name="_Toc8888"/>
      <w:bookmarkStart w:id="98" w:name="_Toc30127"/>
      <w:bookmarkStart w:id="99" w:name="_Toc5745"/>
      <w:bookmarkStart w:id="100" w:name="_Toc931"/>
      <w:bookmarkStart w:id="101" w:name="_Toc4186"/>
      <w:bookmarkStart w:id="102" w:name="_Toc32744"/>
      <w:bookmarkStart w:id="103" w:name="_Toc19306"/>
      <w:bookmarkStart w:id="104" w:name="_Toc17098"/>
      <w:bookmarkStart w:id="105" w:name="_Toc5379"/>
      <w:bookmarkStart w:id="106" w:name="_Toc23143"/>
      <w:bookmarkStart w:id="107" w:name="_Toc27485"/>
      <w:bookmarkStart w:id="108" w:name="_Toc9745"/>
      <w:bookmarkStart w:id="109" w:name="_Toc22241"/>
      <w:bookmarkStart w:id="110" w:name="_Toc13746"/>
      <w:bookmarkStart w:id="111" w:name="_Toc18390"/>
      <w:r>
        <w:rPr>
          <w:rFonts w:hint="eastAsia" w:ascii="宋体" w:hAnsi="宋体" w:eastAsia="宋体" w:cs="宋体"/>
          <w:color w:val="auto"/>
          <w:kern w:val="2"/>
          <w:sz w:val="24"/>
          <w:szCs w:val="24"/>
          <w:highlight w:val="none"/>
          <w:lang w:val="en-US" w:eastAsia="zh-CN" w:bidi="ar-SA"/>
        </w:rPr>
        <w:t>1.资质要求：本次招标要求投标人须为在中华人民共和国境内注册的独立企业法人，具有建设行政主管部门颁发的工程监理综合资质或具有房屋建筑工程监理乙级及以上资质。2.总监理工程师资格要求：投标人拟派项目总监须具备在本单位注册的房屋建筑工程专业监理工程师注册证书（提供注册监理工程证书及全国建筑市场监督公共服务平台“四库一平台”查询结果信息），并具有工程类高级及以上职称，拟派项目总监须为投标人正式员工，提供社保部门出具的在本单位缴纳的养老保险证明或者网络查询打印件（至少包括202</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的缴纳证明</w:t>
      </w:r>
      <w:r>
        <w:rPr>
          <w:rFonts w:hint="eastAsia" w:ascii="宋体" w:hAnsi="宋体" w:eastAsia="宋体" w:cs="宋体"/>
          <w:color w:val="auto"/>
          <w:kern w:val="2"/>
          <w:sz w:val="24"/>
          <w:szCs w:val="24"/>
          <w:highlight w:val="none"/>
          <w:lang w:val="en-US" w:eastAsia="zh-CN" w:bidi="ar-SA"/>
        </w:rPr>
        <w:t>。如因相关政策原因未及时缴纳的，需同时提供已缴纳的最近一个月社保证明及政府部门发布的相关政策文件，公司成立不足一个月的可不提供养老保险证明）。3.财务要求：投标人具有良好的财务状况，提供2022年度经会计师事务所或审计机构审计的年度财务审计报告，投标人的成立时间少于规定年份的，应提供成立以来的财务状况表</w:t>
      </w:r>
      <w:r>
        <w:rPr>
          <w:rFonts w:hint="eastAsia" w:ascii="宋体" w:hAnsi="宋体" w:cs="宋体"/>
          <w:color w:val="auto"/>
          <w:kern w:val="2"/>
          <w:sz w:val="24"/>
          <w:szCs w:val="24"/>
          <w:highlight w:val="none"/>
          <w:lang w:val="en-US" w:eastAsia="zh-CN" w:bidi="ar-SA"/>
        </w:rPr>
        <w:t>。</w:t>
      </w:r>
    </w:p>
    <w:p>
      <w:pPr>
        <w:pStyle w:val="57"/>
        <w:keepNext w:val="0"/>
        <w:keepLines w:val="0"/>
        <w:pageBreakBefore w:val="0"/>
        <w:widowControl w:val="0"/>
        <w:numPr>
          <w:ilvl w:val="0"/>
          <w:numId w:val="0"/>
        </w:numPr>
        <w:tabs>
          <w:tab w:val="left" w:pos="999"/>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4.信誉要求：投标人须具备良好的社会信誉，没有处于被责令停产、停业情况</w:t>
      </w:r>
      <w:r>
        <w:rPr>
          <w:rFonts w:hint="eastAsia" w:ascii="宋体" w:hAnsi="宋体" w:cs="宋体"/>
          <w:color w:val="auto"/>
          <w:kern w:val="2"/>
          <w:sz w:val="24"/>
          <w:szCs w:val="24"/>
          <w:highlight w:val="none"/>
          <w:lang w:val="en-US" w:eastAsia="zh-CN" w:bidi="ar-SA"/>
        </w:rPr>
        <w:t>，没有处于</w:t>
      </w:r>
      <w:r>
        <w:rPr>
          <w:rFonts w:hint="eastAsia" w:ascii="宋体" w:hAnsi="宋体" w:eastAsia="宋体" w:cs="宋体"/>
          <w:color w:val="auto"/>
          <w:kern w:val="2"/>
          <w:sz w:val="24"/>
          <w:szCs w:val="24"/>
          <w:highlight w:val="none"/>
          <w:lang w:val="en-US" w:eastAsia="zh-CN" w:bidi="ar-SA"/>
        </w:rPr>
        <w:t>投标资格被暂停、取消状态，没有财产被接管、冻结和破产状态的情况</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最近三年内未发生骗取中标，未发生严重违约或重大工程质量问题；在近三年内投标人、投标人法定代表人、拟派总监理工程师没有行贿犯罪行为（提供书面承诺）。投标人须提供在“信用中国”网站（https://www.creditchina.gov.cn）或“</w:t>
      </w:r>
      <w:r>
        <w:rPr>
          <w:rFonts w:hint="eastAsia" w:ascii="宋体" w:hAnsi="宋体" w:cs="宋体"/>
          <w:color w:val="auto"/>
          <w:kern w:val="2"/>
          <w:sz w:val="24"/>
          <w:szCs w:val="24"/>
          <w:highlight w:val="none"/>
          <w:lang w:val="en-US" w:eastAsia="zh-CN" w:bidi="ar-SA"/>
        </w:rPr>
        <w:t>中国执行信息公开网</w:t>
      </w:r>
      <w:r>
        <w:rPr>
          <w:rFonts w:hint="eastAsia" w:ascii="宋体" w:hAnsi="宋体" w:eastAsia="宋体" w:cs="宋体"/>
          <w:color w:val="auto"/>
          <w:kern w:val="2"/>
          <w:sz w:val="24"/>
          <w:szCs w:val="24"/>
          <w:highlight w:val="none"/>
          <w:lang w:val="en-US" w:eastAsia="zh-CN" w:bidi="ar-SA"/>
        </w:rPr>
        <w:t>”网站（http://zxgk.court.gov.cn）查询相关主体（含企业、企业法定代表人）未列入失信被执行人网页打印页，若上述对象有一个或一个以上被列入失信被执行人名单，拒绝其参与本次投标</w:t>
      </w:r>
      <w:r>
        <w:rPr>
          <w:rFonts w:hint="eastAsia" w:ascii="宋体" w:hAnsi="宋体" w:cs="宋体"/>
          <w:color w:val="auto"/>
          <w:kern w:val="2"/>
          <w:sz w:val="24"/>
          <w:szCs w:val="24"/>
          <w:highlight w:val="none"/>
          <w:lang w:val="en-US" w:eastAsia="zh-CN" w:bidi="ar-SA"/>
        </w:rPr>
        <w:t>活</w:t>
      </w:r>
      <w:r>
        <w:rPr>
          <w:rFonts w:hint="eastAsia" w:ascii="宋体" w:hAnsi="宋体" w:eastAsia="宋体" w:cs="宋体"/>
          <w:color w:val="auto"/>
          <w:kern w:val="2"/>
          <w:sz w:val="24"/>
          <w:szCs w:val="24"/>
          <w:highlight w:val="none"/>
          <w:lang w:val="en-US" w:eastAsia="zh-CN" w:bidi="ar-SA"/>
        </w:rPr>
        <w:t>动，其投标无效</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查询时间为招标公告发布之日后，投标截止时间前</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查询结果需显示网页查询时间。</w:t>
      </w:r>
    </w:p>
    <w:p>
      <w:pPr>
        <w:pStyle w:val="57"/>
        <w:keepNext w:val="0"/>
        <w:keepLines w:val="0"/>
        <w:pageBreakBefore w:val="0"/>
        <w:widowControl w:val="0"/>
        <w:numPr>
          <w:ilvl w:val="0"/>
          <w:numId w:val="0"/>
        </w:numPr>
        <w:tabs>
          <w:tab w:val="left" w:pos="999"/>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注：最近三年是指该项目投标截止之日起往前顺推三年，以事实实际发生的时间为准。</w:t>
      </w:r>
    </w:p>
    <w:p>
      <w:pPr>
        <w:pStyle w:val="57"/>
        <w:keepNext w:val="0"/>
        <w:keepLines w:val="0"/>
        <w:pageBreakBefore w:val="0"/>
        <w:widowControl w:val="0"/>
        <w:numPr>
          <w:ilvl w:val="0"/>
          <w:numId w:val="0"/>
        </w:numPr>
        <w:tabs>
          <w:tab w:val="left" w:pos="999"/>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其他要求：单位负责人为同一人或存在控股、管理关系的不同单位，不得同时参加本项目投标，否则，相关投标均无效。【提供加盖投标人公章的“国家企业信用信息公示系统”中公示的公司信息、股东（或投资人）信息】。</w:t>
      </w:r>
    </w:p>
    <w:p>
      <w:pPr>
        <w:pStyle w:val="57"/>
        <w:keepNext w:val="0"/>
        <w:keepLines w:val="0"/>
        <w:pageBreakBefore w:val="0"/>
        <w:widowControl w:val="0"/>
        <w:numPr>
          <w:ilvl w:val="0"/>
          <w:numId w:val="0"/>
        </w:numPr>
        <w:tabs>
          <w:tab w:val="left" w:pos="999"/>
        </w:tabs>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6.本次招标不接受联合体投标，本项目采取资格后审，资格审查的具体要求见招标文件。资格后审不合格的投标人投标文件将按无效标处理。</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4"/>
          <w:highlight w:val="none"/>
        </w:rPr>
      </w:pPr>
      <w:bookmarkStart w:id="112" w:name="_Toc20296"/>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招标文件的获取</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1.凡有意参加投标者，请于</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日9时00分至202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日17时30分</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登录</w:t>
      </w:r>
      <w:r>
        <w:rPr>
          <w:rFonts w:hint="eastAsia" w:ascii="宋体" w:hAnsi="宋体" w:eastAsia="宋体" w:cs="宋体"/>
          <w:color w:val="auto"/>
          <w:sz w:val="24"/>
          <w:highlight w:val="none"/>
          <w:lang w:val="en-US" w:eastAsia="zh-CN"/>
        </w:rPr>
        <w:t>“郑州航空港经济综合实验区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郑州新郑综合保税区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公共资源交易中心（http://www.zzhkgggzy.cn/）网站”，完成“CA数字证书办理</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及“市场主体信息库登记</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后,凭CA数字证书在网上下载本项目招标文件等资料。具体操作事宜详见中心网站“公共服务</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办事指南</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栏目内《市场主体信息库申报须知》。</w:t>
      </w:r>
    </w:p>
    <w:p>
      <w:pPr>
        <w:pageBreakBefore w:val="0"/>
        <w:kinsoku/>
        <w:overflowPunct/>
        <w:bidi w:val="0"/>
        <w:spacing w:line="360" w:lineRule="auto"/>
        <w:ind w:firstLine="480" w:firstLineChars="200"/>
        <w:outlineLvl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招标文件售价0元。</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4"/>
          <w:highlight w:val="none"/>
        </w:rPr>
      </w:pPr>
      <w:bookmarkStart w:id="113" w:name="_Toc16632"/>
      <w:bookmarkStart w:id="114" w:name="_Toc28692"/>
      <w:bookmarkStart w:id="115" w:name="_Toc27706"/>
      <w:bookmarkStart w:id="116" w:name="_Toc63"/>
      <w:bookmarkStart w:id="117" w:name="_Toc32583"/>
      <w:bookmarkStart w:id="118" w:name="_Toc14424"/>
      <w:bookmarkStart w:id="119" w:name="_Toc21651"/>
      <w:bookmarkStart w:id="120" w:name="_Toc17324"/>
      <w:bookmarkStart w:id="121" w:name="_Toc325"/>
      <w:bookmarkStart w:id="122" w:name="_Toc2502"/>
      <w:bookmarkStart w:id="123" w:name="_Toc20209"/>
      <w:bookmarkStart w:id="124" w:name="_Toc13307"/>
      <w:bookmarkStart w:id="125" w:name="_Toc3180"/>
      <w:bookmarkStart w:id="126" w:name="_Toc23373"/>
      <w:bookmarkStart w:id="127" w:name="_Toc28719"/>
      <w:bookmarkStart w:id="128" w:name="_Toc8014"/>
      <w:bookmarkStart w:id="129" w:name="_Toc17524"/>
      <w:bookmarkStart w:id="130" w:name="_Toc32251"/>
      <w:bookmarkStart w:id="131" w:name="_Toc12053"/>
      <w:r>
        <w:rPr>
          <w:rFonts w:hint="eastAsia" w:ascii="宋体" w:hAnsi="宋体" w:eastAsia="宋体" w:cs="宋体"/>
          <w:b/>
          <w:bCs/>
          <w:color w:val="auto"/>
          <w:sz w:val="24"/>
          <w:highlight w:val="none"/>
          <w:lang w:val="en-US" w:eastAsia="zh-CN"/>
        </w:rPr>
        <w:t>五、</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hint="eastAsia" w:ascii="宋体" w:hAnsi="宋体" w:eastAsia="宋体" w:cs="宋体"/>
          <w:b/>
          <w:bCs/>
          <w:color w:val="auto"/>
          <w:sz w:val="24"/>
          <w:highlight w:val="none"/>
        </w:rPr>
        <w:t>投标截止时间及地点</w:t>
      </w:r>
      <w:bookmarkEnd w:id="129"/>
      <w:bookmarkEnd w:id="130"/>
      <w:bookmarkEnd w:id="131"/>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bookmarkStart w:id="132" w:name="_Toc24696"/>
      <w:bookmarkStart w:id="133" w:name="_Toc23571"/>
      <w:r>
        <w:rPr>
          <w:rFonts w:hint="eastAsia" w:ascii="宋体" w:hAnsi="宋体" w:eastAsia="宋体" w:cs="宋体"/>
          <w:color w:val="auto"/>
          <w:sz w:val="24"/>
          <w:highlight w:val="none"/>
          <w:lang w:val="en-US" w:eastAsia="zh-CN"/>
        </w:rPr>
        <w:t>1.投标文件递交的截止时间（投标截止时间</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下同）为</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**日</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时</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0分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投标人应在截止时间前通过郑州航空港经济综合实验区（郑州新郑综合保税区）公共资源交易中心电子招标投标交易平台</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http://www.zzhkgggzy.cn/</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递交（上传）电子投标文件；</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2.逾期送达（上传）的投标文件，电子招标投标交易平台将予以拒收。</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3.本项目采用“远程不见面”开标方式</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投标人无需到开标现场参加开标会议，不再要求投标人到达现场提交任何资料。不见面开标的具体</w:t>
      </w:r>
      <w:r>
        <w:rPr>
          <w:rFonts w:hint="eastAsia" w:ascii="宋体" w:hAnsi="宋体" w:cs="宋体"/>
          <w:color w:val="auto"/>
          <w:sz w:val="24"/>
          <w:highlight w:val="none"/>
          <w:lang w:val="en-US" w:eastAsia="zh-CN"/>
        </w:rPr>
        <w:t>事宜请</w:t>
      </w:r>
      <w:r>
        <w:rPr>
          <w:rFonts w:hint="eastAsia" w:ascii="宋体" w:hAnsi="宋体" w:eastAsia="宋体" w:cs="宋体"/>
          <w:color w:val="auto"/>
          <w:sz w:val="24"/>
          <w:highlight w:val="none"/>
          <w:lang w:val="en-US" w:eastAsia="zh-CN"/>
        </w:rPr>
        <w:t>查阅</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郑州航空港经济综合实验区（郑州新郑综合保税区）公共资</w:t>
      </w:r>
      <w:r>
        <w:rPr>
          <w:rFonts w:hint="eastAsia" w:ascii="宋体" w:hAnsi="宋体" w:cs="宋体"/>
          <w:color w:val="auto"/>
          <w:sz w:val="24"/>
          <w:highlight w:val="none"/>
          <w:lang w:val="en-US" w:eastAsia="zh-CN"/>
        </w:rPr>
        <w:t>源</w:t>
      </w:r>
      <w:r>
        <w:rPr>
          <w:rFonts w:hint="eastAsia" w:ascii="宋体" w:hAnsi="宋体" w:eastAsia="宋体" w:cs="宋体"/>
          <w:color w:val="auto"/>
          <w:sz w:val="24"/>
          <w:highlight w:val="none"/>
          <w:lang w:val="en-US" w:eastAsia="zh-CN"/>
        </w:rPr>
        <w:t>交易中心网站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“公共服务</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下载专区”栏目内《郑州航空港经济综合实验区公共资源交易中心不见面开标大厅操作手册》。投标人应当在投标截止时间前</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做好不见面开标的准备工作，否则由此可能引起的解密失败或无法解密等问题由投标人自行承担。</w:t>
      </w:r>
    </w:p>
    <w:p>
      <w:pPr>
        <w:pageBreakBefore w:val="0"/>
        <w:kinsoku/>
        <w:overflowPunct/>
        <w:bidi w:val="0"/>
        <w:spacing w:line="360" w:lineRule="auto"/>
        <w:outlineLvl w:val="1"/>
        <w:rPr>
          <w:rFonts w:hint="eastAsia" w:ascii="宋体" w:hAnsi="宋体" w:eastAsia="宋体" w:cs="宋体"/>
          <w:b/>
          <w:color w:val="auto"/>
          <w:sz w:val="24"/>
          <w:szCs w:val="24"/>
          <w:highlight w:val="none"/>
        </w:rPr>
      </w:pPr>
      <w:bookmarkStart w:id="134" w:name="_Toc8580"/>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、开标时间及地点</w:t>
      </w:r>
      <w:bookmarkEnd w:id="132"/>
      <w:bookmarkEnd w:id="133"/>
      <w:bookmarkEnd w:id="134"/>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color w:val="auto"/>
          <w:sz w:val="24"/>
          <w:highlight w:val="none"/>
          <w:lang w:val="en-US" w:eastAsia="zh-CN"/>
        </w:rPr>
      </w:pPr>
      <w:bookmarkStart w:id="135" w:name="_Toc30778"/>
      <w:bookmarkStart w:id="136" w:name="_Toc18049"/>
      <w:bookmarkStart w:id="137" w:name="_Toc19016"/>
      <w:bookmarkStart w:id="138" w:name="_Toc16017"/>
      <w:bookmarkStart w:id="139" w:name="_Toc10406"/>
      <w:bookmarkStart w:id="140" w:name="_Toc23890"/>
      <w:bookmarkStart w:id="141" w:name="_Toc18349"/>
      <w:bookmarkStart w:id="142" w:name="_Toc19201"/>
      <w:bookmarkStart w:id="143" w:name="_Toc3705"/>
      <w:bookmarkStart w:id="144" w:name="_Toc19290"/>
      <w:bookmarkStart w:id="145" w:name="_Toc29097"/>
      <w:bookmarkStart w:id="146" w:name="_Toc30128"/>
      <w:bookmarkStart w:id="147" w:name="_Toc28118"/>
      <w:bookmarkStart w:id="148" w:name="_Toc17862"/>
      <w:bookmarkStart w:id="149" w:name="_Toc24849"/>
      <w:bookmarkStart w:id="150" w:name="_Toc8040"/>
      <w:bookmarkStart w:id="151" w:name="_Toc9181"/>
      <w:bookmarkStart w:id="152" w:name="_Toc7901"/>
      <w:r>
        <w:rPr>
          <w:rFonts w:hint="eastAsia" w:ascii="宋体" w:hAnsi="宋体" w:eastAsia="宋体" w:cs="宋体"/>
          <w:color w:val="auto"/>
          <w:sz w:val="24"/>
          <w:highlight w:val="none"/>
          <w:lang w:val="en-US" w:eastAsia="zh-CN"/>
        </w:rPr>
        <w:t>1.开标时间：同投标文件递交截止时间；</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2.开标地点：“远程不见面”开标方式，投标人应当在招标文件确定的投标截止时间前，登录远程开标大厅，在线准时参加开标启动并进行文件解密、答疑澄清等；</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3.其他有关事项：本项目采用“远程不见面开标”方式，投标人无需到郑州航空港经济综合实验区（郑州新郑综合保税区）公共</w:t>
      </w:r>
      <w:r>
        <w:rPr>
          <w:rFonts w:hint="eastAsia" w:ascii="宋体" w:hAnsi="宋体" w:cs="宋体"/>
          <w:color w:val="auto"/>
          <w:sz w:val="24"/>
          <w:highlight w:val="none"/>
          <w:lang w:val="en-US" w:eastAsia="zh-CN"/>
        </w:rPr>
        <w:t>资源</w:t>
      </w:r>
      <w:r>
        <w:rPr>
          <w:rFonts w:hint="eastAsia" w:ascii="宋体" w:hAnsi="宋体" w:eastAsia="宋体" w:cs="宋体"/>
          <w:color w:val="auto"/>
          <w:sz w:val="24"/>
          <w:highlight w:val="none"/>
          <w:lang w:val="en-US" w:eastAsia="zh-CN"/>
        </w:rPr>
        <w:t>交易中心现场参加开标会议，无需到达现场提交原件等资料。投标人应当在投标截止时间前，登录远程开标大厅，在线准时参加开标活动并进行文件解密等工作。</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4"/>
          <w:highlight w:val="none"/>
        </w:rPr>
      </w:pPr>
      <w:bookmarkStart w:id="153" w:name="_Toc25828"/>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发布公告的媒介</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本次招标公告在《中国招标投标公共服务平台</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河南省电子招标投标公共服务平台</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郑州航空港经济综合实验区（郑州新郑综合保税区）公共资</w:t>
      </w:r>
      <w:r>
        <w:rPr>
          <w:rFonts w:hint="eastAsia" w:ascii="宋体" w:hAnsi="宋体" w:cs="宋体"/>
          <w:color w:val="auto"/>
          <w:sz w:val="24"/>
          <w:highlight w:val="none"/>
          <w:lang w:val="en-US" w:eastAsia="zh-CN"/>
        </w:rPr>
        <w:t>源</w:t>
      </w:r>
      <w:r>
        <w:rPr>
          <w:rFonts w:hint="eastAsia" w:ascii="宋体" w:hAnsi="宋体" w:eastAsia="宋体" w:cs="宋体"/>
          <w:color w:val="auto"/>
          <w:sz w:val="24"/>
          <w:highlight w:val="none"/>
          <w:lang w:val="en-US" w:eastAsia="zh-CN"/>
        </w:rPr>
        <w:t>交易中心网站》上发布，招标人及招标代理机构对任何转载信息不承担责任。</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outlineLvl w:val="1"/>
        <w:rPr>
          <w:rFonts w:hint="eastAsia" w:ascii="宋体" w:hAnsi="宋体" w:eastAsia="宋体" w:cs="宋体"/>
          <w:b/>
          <w:bCs/>
          <w:color w:val="auto"/>
          <w:sz w:val="24"/>
          <w:highlight w:val="none"/>
        </w:rPr>
      </w:pPr>
      <w:bookmarkStart w:id="154" w:name="_Toc27300"/>
      <w:bookmarkStart w:id="155" w:name="_Toc20326"/>
      <w:bookmarkStart w:id="156" w:name="_Toc6702"/>
      <w:bookmarkStart w:id="157" w:name="_Toc14072"/>
      <w:bookmarkStart w:id="158" w:name="_Toc3655"/>
      <w:bookmarkStart w:id="159" w:name="_Toc2824"/>
      <w:bookmarkStart w:id="160" w:name="_Toc32133"/>
      <w:bookmarkStart w:id="161" w:name="_Toc8937"/>
      <w:bookmarkStart w:id="162" w:name="_Toc26764"/>
      <w:bookmarkStart w:id="163" w:name="_Toc31769"/>
      <w:bookmarkStart w:id="164" w:name="_Toc27840"/>
      <w:bookmarkStart w:id="165" w:name="_Toc31107"/>
      <w:bookmarkStart w:id="166" w:name="_Toc10069"/>
      <w:bookmarkStart w:id="167" w:name="_Toc7239"/>
      <w:bookmarkStart w:id="168" w:name="_Toc13244"/>
      <w:bookmarkStart w:id="169" w:name="_Toc7692"/>
      <w:bookmarkStart w:id="170" w:name="_Toc9367"/>
      <w:bookmarkStart w:id="171" w:name="_Toc14554"/>
      <w:bookmarkStart w:id="172" w:name="_Toc17814"/>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联系方式</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招标人：郑州航空港经济综合</w:t>
      </w:r>
      <w:r>
        <w:rPr>
          <w:rFonts w:hint="eastAsia" w:ascii="宋体" w:hAnsi="宋体" w:cs="宋体"/>
          <w:color w:val="auto"/>
          <w:sz w:val="24"/>
          <w:highlight w:val="none"/>
          <w:lang w:val="en-US" w:eastAsia="zh-CN"/>
        </w:rPr>
        <w:t>实</w:t>
      </w:r>
      <w:r>
        <w:rPr>
          <w:rFonts w:hint="eastAsia" w:ascii="宋体" w:hAnsi="宋体" w:eastAsia="宋体" w:cs="宋体"/>
          <w:color w:val="auto"/>
          <w:sz w:val="24"/>
          <w:highlight w:val="none"/>
          <w:lang w:val="en-US" w:eastAsia="zh-CN"/>
        </w:rPr>
        <w:t>验区教育文化卫生体育局</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ascii="宋体" w:hAnsi="宋体" w:cs="宋体"/>
          <w:color w:val="auto"/>
          <w:sz w:val="24"/>
          <w:highlight w:val="none"/>
          <w:lang w:val="en-US" w:eastAsia="zh-CN"/>
        </w:rPr>
        <w:t>张雨</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w:t>
      </w:r>
      <w:r>
        <w:rPr>
          <w:rFonts w:hint="eastAsia" w:ascii="宋体" w:hAnsi="宋体" w:cs="宋体"/>
          <w:color w:val="auto"/>
          <w:sz w:val="24"/>
          <w:highlight w:val="none"/>
          <w:lang w:val="en-US" w:eastAsia="zh-CN"/>
        </w:rPr>
        <w:t>0371-86190556</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cs="宋体"/>
          <w:color w:val="auto"/>
          <w:sz w:val="24"/>
          <w:highlight w:val="none"/>
          <w:lang w:val="en-US" w:eastAsia="zh-CN"/>
        </w:rPr>
        <w:t>河南省郑州航空港新港大道22号</w:t>
      </w:r>
    </w:p>
    <w:p>
      <w:pPr>
        <w:wordWrap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招标代理机构：龙达恒信工程咨询有限公司</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cs="宋体"/>
          <w:sz w:val="24"/>
          <w:highlight w:val="none"/>
        </w:rPr>
        <w:t>地址：山东省济南市经十路619号凤鸣山庄58号</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ascii="宋体" w:hAnsi="宋体" w:cs="宋体"/>
          <w:color w:val="auto"/>
          <w:sz w:val="24"/>
          <w:highlight w:val="none"/>
          <w:lang w:val="en-US" w:eastAsia="zh-CN"/>
        </w:rPr>
        <w:t>张玉峰</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电话：</w:t>
      </w:r>
      <w:r>
        <w:rPr>
          <w:rFonts w:hint="eastAsia" w:ascii="宋体" w:hAnsi="宋体" w:cs="宋体"/>
          <w:color w:val="auto"/>
          <w:sz w:val="24"/>
          <w:highlight w:val="none"/>
          <w:lang w:val="en-US" w:eastAsia="zh-CN"/>
        </w:rPr>
        <w:t>18768853397</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电子邮件：Ldhnfgs@163.com</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监督部门：郑州航空港经济综合实验区建设局（郑州市生态环境局郑州航空港经济综合实验区分局）</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投诉地址：郑州航空港经济综合实验区金港大道与星港路交叉口新港办公区</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号楼</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投诉电话：</w:t>
      </w:r>
      <w:r>
        <w:rPr>
          <w:rFonts w:ascii="宋体" w:hAnsi="宋体" w:eastAsia="宋体" w:cs="宋体"/>
          <w:sz w:val="24"/>
          <w:szCs w:val="24"/>
          <w:highlight w:val="none"/>
        </w:rPr>
        <w:t>0371-86199628</w:t>
      </w:r>
    </w:p>
    <w:p>
      <w:pPr>
        <w:pageBreakBefore w:val="0"/>
        <w:kinsoku/>
        <w:overflowPunct/>
        <w:bidi w:val="0"/>
        <w:spacing w:line="360" w:lineRule="auto"/>
        <w:ind w:firstLine="480" w:firstLineChars="200"/>
        <w:rPr>
          <w:rFonts w:hint="eastAsia" w:ascii="宋体" w:hAnsi="宋体" w:eastAsia="宋体" w:cs="宋体"/>
          <w:color w:val="auto"/>
          <w:highlight w:val="none"/>
        </w:rPr>
      </w:pPr>
      <w:r>
        <w:rPr>
          <w:rFonts w:hint="eastAsia" w:ascii="宋体" w:hAnsi="宋体" w:cs="宋体"/>
          <w:color w:val="auto"/>
          <w:sz w:val="24"/>
          <w:highlight w:val="none"/>
          <w:lang w:val="en-US" w:eastAsia="zh-CN"/>
        </w:rPr>
        <w:t>联系人：王仁诚</w:t>
      </w:r>
    </w:p>
    <w:p>
      <w:pPr>
        <w:pageBreakBefore w:val="0"/>
        <w:kinsoku/>
        <w:overflowPunct/>
        <w:bidi w:val="0"/>
        <w:spacing w:line="360"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p>
    <w:p>
      <w:pPr>
        <w:pageBreakBefore w:val="0"/>
        <w:kinsoku/>
        <w:overflowPunct/>
        <w:bidi w:val="0"/>
        <w:spacing w:line="360" w:lineRule="auto"/>
        <w:jc w:val="center"/>
        <w:outlineLvl w:val="0"/>
        <w:rPr>
          <w:rFonts w:hint="eastAsia" w:ascii="宋体" w:hAnsi="宋体" w:eastAsia="宋体" w:cs="宋体"/>
          <w:b/>
          <w:bCs/>
          <w:color w:val="auto"/>
          <w:highlight w:val="none"/>
        </w:rPr>
      </w:pPr>
      <w:bookmarkStart w:id="173" w:name="_Toc11086"/>
      <w:bookmarkStart w:id="174" w:name="_Toc29158"/>
      <w:bookmarkStart w:id="175" w:name="_Toc19909"/>
      <w:bookmarkStart w:id="176" w:name="_Toc11475"/>
      <w:bookmarkStart w:id="177" w:name="_Toc30824"/>
      <w:r>
        <w:rPr>
          <w:rFonts w:hint="eastAsia" w:ascii="宋体" w:hAnsi="宋体" w:eastAsia="宋体" w:cs="宋体"/>
          <w:b/>
          <w:bCs/>
          <w:color w:val="auto"/>
          <w:sz w:val="44"/>
          <w:szCs w:val="44"/>
          <w:highlight w:val="none"/>
        </w:rPr>
        <w:t>第二章 投标人须知</w:t>
      </w:r>
      <w:bookmarkEnd w:id="40"/>
      <w:bookmarkEnd w:id="41"/>
      <w:bookmarkEnd w:id="42"/>
      <w:bookmarkEnd w:id="43"/>
      <w:bookmarkEnd w:id="44"/>
      <w:bookmarkEnd w:id="45"/>
      <w:bookmarkEnd w:id="46"/>
      <w:bookmarkEnd w:id="47"/>
      <w:bookmarkEnd w:id="48"/>
      <w:bookmarkEnd w:id="173"/>
      <w:bookmarkEnd w:id="174"/>
      <w:bookmarkEnd w:id="175"/>
      <w:bookmarkEnd w:id="176"/>
      <w:bookmarkEnd w:id="177"/>
    </w:p>
    <w:p>
      <w:pPr>
        <w:pStyle w:val="4"/>
        <w:pageBreakBefore w:val="0"/>
        <w:kinsoku/>
        <w:overflowPunct/>
        <w:bidi w:val="0"/>
        <w:spacing w:before="0" w:after="0" w:line="360" w:lineRule="auto"/>
        <w:jc w:val="center"/>
        <w:outlineLvl w:val="1"/>
        <w:rPr>
          <w:rFonts w:hint="eastAsia" w:ascii="宋体" w:hAnsi="宋体" w:eastAsia="宋体" w:cs="宋体"/>
          <w:color w:val="auto"/>
          <w:sz w:val="24"/>
          <w:szCs w:val="24"/>
          <w:highlight w:val="none"/>
        </w:rPr>
      </w:pPr>
      <w:bookmarkStart w:id="178" w:name="_Toc25143"/>
      <w:bookmarkStart w:id="179" w:name="_Toc10920"/>
      <w:bookmarkStart w:id="180" w:name="_Toc10691"/>
      <w:bookmarkStart w:id="181" w:name="_Toc16670530"/>
      <w:bookmarkStart w:id="182" w:name="_Toc23323"/>
      <w:bookmarkStart w:id="183" w:name="_Toc3836"/>
      <w:bookmarkStart w:id="184" w:name="_Toc4990"/>
      <w:bookmarkStart w:id="185" w:name="_Toc27610"/>
      <w:bookmarkStart w:id="186" w:name="_Toc5557"/>
      <w:bookmarkStart w:id="187" w:name="_Toc7104"/>
      <w:bookmarkStart w:id="188" w:name="_Toc23233"/>
      <w:bookmarkStart w:id="189" w:name="_Toc16671042"/>
      <w:bookmarkStart w:id="190" w:name="_Toc1546"/>
      <w:bookmarkStart w:id="191" w:name="_Toc908"/>
      <w:r>
        <w:rPr>
          <w:rFonts w:hint="eastAsia" w:ascii="宋体" w:hAnsi="宋体" w:eastAsia="宋体" w:cs="宋体"/>
          <w:color w:val="auto"/>
          <w:sz w:val="24"/>
          <w:szCs w:val="24"/>
          <w:highlight w:val="none"/>
        </w:rPr>
        <w:t>投标人须知前附表</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tbl>
      <w:tblPr>
        <w:tblStyle w:val="35"/>
        <w:tblpPr w:leftFromText="180" w:rightFromText="180" w:vertAnchor="text" w:horzAnchor="page" w:tblpXSpec="center" w:tblpY="33"/>
        <w:tblOverlap w:val="never"/>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894"/>
        <w:gridCol w:w="7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894"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7007"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2</w:t>
            </w:r>
          </w:p>
        </w:tc>
        <w:tc>
          <w:tcPr>
            <w:tcW w:w="1894"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招标人</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招标人：郑州航空港经济综合实验区教育文化卫生体育局</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w:t>
            </w:r>
            <w:r>
              <w:rPr>
                <w:rFonts w:hint="eastAsia" w:ascii="宋体" w:hAnsi="宋体" w:eastAsia="宋体" w:cs="宋体"/>
                <w:color w:val="auto"/>
                <w:sz w:val="24"/>
                <w:highlight w:val="none"/>
                <w:lang w:val="en-US" w:eastAsia="zh-CN"/>
              </w:rPr>
              <w:tab/>
            </w:r>
            <w:r>
              <w:rPr>
                <w:rFonts w:hint="eastAsia" w:ascii="宋体" w:hAnsi="宋体" w:eastAsia="宋体" w:cs="宋体"/>
                <w:color w:val="auto"/>
                <w:sz w:val="24"/>
                <w:highlight w:val="none"/>
                <w:lang w:val="en-US" w:eastAsia="zh-CN"/>
              </w:rPr>
              <w:t>址：</w:t>
            </w:r>
            <w:r>
              <w:rPr>
                <w:rFonts w:hint="eastAsia" w:ascii="宋体" w:hAnsi="宋体" w:cs="宋体"/>
                <w:color w:val="auto"/>
                <w:sz w:val="24"/>
                <w:highlight w:val="none"/>
                <w:lang w:val="en-US" w:eastAsia="zh-CN"/>
              </w:rPr>
              <w:t>河南省郑州航空港新港大道22号</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w:t>
            </w:r>
            <w:r>
              <w:rPr>
                <w:rFonts w:hint="eastAsia" w:ascii="宋体" w:hAnsi="宋体" w:cs="宋体"/>
                <w:color w:val="auto"/>
                <w:sz w:val="24"/>
                <w:highlight w:val="none"/>
                <w:lang w:val="en-US" w:eastAsia="zh-CN"/>
              </w:rPr>
              <w:t>张雨</w:t>
            </w:r>
            <w:bookmarkStart w:id="397" w:name="_GoBack"/>
            <w:bookmarkEnd w:id="397"/>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highlight w:val="none"/>
                <w:lang w:val="en-US" w:eastAsia="zh-CN"/>
              </w:rPr>
              <w:t>联系方式：</w:t>
            </w:r>
            <w:r>
              <w:rPr>
                <w:rFonts w:hint="eastAsia" w:ascii="宋体" w:hAnsi="宋体" w:cs="宋体"/>
                <w:color w:val="auto"/>
                <w:sz w:val="24"/>
                <w:highlight w:val="none"/>
                <w:lang w:val="en-US" w:eastAsia="zh-CN"/>
              </w:rPr>
              <w:t>0371-86190556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招标代理机构</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招标代理机构：龙达恒信工程咨询有限公司</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地址：山东省济南市经十路619号凤鸣山庄58号</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联系人：张玉峰</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电话：18768853397</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电子邮件：Ldhnfgs@163.com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监督部门</w:t>
            </w:r>
          </w:p>
        </w:tc>
        <w:tc>
          <w:tcPr>
            <w:tcW w:w="700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监督部门：郑州航空港经济综合实验区建设局（郑州市生态环境局</w:t>
            </w:r>
          </w:p>
          <w:p>
            <w:pPr>
              <w:keepNext w:val="0"/>
              <w:keepLines w:val="0"/>
              <w:pageBreakBefore w:val="0"/>
              <w:widowControl w:val="0"/>
              <w:kinsoku/>
              <w:wordWrap/>
              <w:overflowPunct/>
              <w:topLinePunct w:val="0"/>
              <w:autoSpaceDE/>
              <w:autoSpaceDN/>
              <w:bidi w:val="0"/>
              <w:adjustRightInd w:val="0"/>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郑州航空港经济综合实验区分局）</w:t>
            </w:r>
          </w:p>
          <w:p>
            <w:pPr>
              <w:keepNext w:val="0"/>
              <w:keepLines w:val="0"/>
              <w:pageBreakBefore w:val="0"/>
              <w:widowControl w:val="0"/>
              <w:kinsoku/>
              <w:wordWrap/>
              <w:overflowPunct/>
              <w:topLinePunct w:val="0"/>
              <w:autoSpaceDE/>
              <w:autoSpaceDN/>
              <w:bidi w:val="0"/>
              <w:adjustRightInd w:val="0"/>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地  址：郑州航空港经济综合实验区金港大道与星港路交叉口新港</w:t>
            </w:r>
          </w:p>
          <w:p>
            <w:pPr>
              <w:keepNext w:val="0"/>
              <w:keepLines w:val="0"/>
              <w:pageBreakBefore w:val="0"/>
              <w:widowControl w:val="0"/>
              <w:kinsoku/>
              <w:wordWrap/>
              <w:overflowPunct/>
              <w:topLinePunct w:val="0"/>
              <w:autoSpaceDE/>
              <w:autoSpaceDN/>
              <w:bidi w:val="0"/>
              <w:adjustRightInd w:val="0"/>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办公区2号楼256</w:t>
            </w:r>
          </w:p>
          <w:p>
            <w:pPr>
              <w:keepNext w:val="0"/>
              <w:keepLines w:val="0"/>
              <w:pageBreakBefore w:val="0"/>
              <w:widowControl w:val="0"/>
              <w:kinsoku/>
              <w:wordWrap/>
              <w:overflowPunct/>
              <w:topLinePunct w:val="0"/>
              <w:autoSpaceDE/>
              <w:autoSpaceDN/>
              <w:bidi w:val="0"/>
              <w:adjustRightInd w:val="0"/>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联系人：王老师</w:t>
            </w:r>
          </w:p>
          <w:p>
            <w:pPr>
              <w:keepNext w:val="0"/>
              <w:keepLines w:val="0"/>
              <w:pageBreakBefore w:val="0"/>
              <w:widowControl w:val="0"/>
              <w:kinsoku/>
              <w:wordWrap/>
              <w:overflowPunct/>
              <w:topLinePunct w:val="0"/>
              <w:autoSpaceDE/>
              <w:autoSpaceDN/>
              <w:bidi w:val="0"/>
              <w:adjustRightInd w:val="0"/>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电  话：0371-86199628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5</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p>
        </w:tc>
        <w:tc>
          <w:tcPr>
            <w:tcW w:w="7007" w:type="dxa"/>
            <w:vAlign w:val="center"/>
          </w:tcPr>
          <w:p>
            <w:pPr>
              <w:keepNext w:val="0"/>
              <w:keepLines w:val="0"/>
              <w:pageBreakBefore w:val="0"/>
              <w:widowControl w:val="0"/>
              <w:kinsoku/>
              <w:wordWrap/>
              <w:overflowPunct/>
              <w:topLinePunct w:val="0"/>
              <w:autoSpaceDE/>
              <w:autoSpaceDN/>
              <w:bidi w:val="0"/>
              <w:adjustRightInd w:val="0"/>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郑州航空港经济综合实验区河东六号安置区第四幼儿园（瑞和幼儿园）建设项目监理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6</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建设</w:t>
            </w:r>
            <w:r>
              <w:rPr>
                <w:rFonts w:hint="eastAsia" w:ascii="宋体" w:hAnsi="宋体" w:eastAsia="宋体" w:cs="宋体"/>
                <w:color w:val="auto"/>
                <w:sz w:val="24"/>
                <w:highlight w:val="none"/>
                <w:lang w:val="en-US" w:eastAsia="zh-CN"/>
              </w:rPr>
              <w:t>地点</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郑州航空港经济综合实验区祥里路以北，瑞和街以东。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1.1.7</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项目概况</w:t>
            </w:r>
          </w:p>
        </w:tc>
        <w:tc>
          <w:tcPr>
            <w:tcW w:w="7007" w:type="dxa"/>
            <w:vAlign w:val="center"/>
          </w:tcPr>
          <w:p>
            <w:pPr>
              <w:pageBreakBefore w:val="0"/>
              <w:kinsoku/>
              <w:overflowPunct/>
              <w:bidi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见招标公告项目概况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1.1.8</w:t>
            </w:r>
          </w:p>
        </w:tc>
        <w:tc>
          <w:tcPr>
            <w:tcW w:w="1894" w:type="dxa"/>
            <w:vAlign w:val="center"/>
          </w:tcPr>
          <w:p>
            <w:pPr>
              <w:keepNext w:val="0"/>
              <w:keepLines w:val="0"/>
              <w:widowControl/>
              <w:suppressLineNumbers w:val="0"/>
              <w:jc w:val="left"/>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建筑安装工程费/工程概算</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总概算约</w:t>
            </w:r>
            <w:r>
              <w:rPr>
                <w:rFonts w:hint="eastAsia" w:ascii="宋体" w:hAnsi="宋体" w:cs="宋体"/>
                <w:color w:val="auto"/>
                <w:sz w:val="24"/>
                <w:highlight w:val="none"/>
                <w:lang w:val="en-US" w:eastAsia="zh-CN"/>
              </w:rPr>
              <w:t>2204.70</w:t>
            </w:r>
            <w:r>
              <w:rPr>
                <w:rFonts w:hint="eastAsia" w:ascii="宋体" w:hAnsi="宋体" w:eastAsia="宋体" w:cs="宋体"/>
                <w:color w:val="auto"/>
                <w:sz w:val="24"/>
                <w:highlight w:val="none"/>
                <w:lang w:val="en-US" w:eastAsia="zh-CN"/>
              </w:rPr>
              <w:t>万元，其中工程费用约</w:t>
            </w:r>
            <w:r>
              <w:rPr>
                <w:rFonts w:hint="eastAsia" w:ascii="宋体" w:hAnsi="宋体" w:cs="宋体"/>
                <w:color w:val="auto"/>
                <w:sz w:val="24"/>
                <w:highlight w:val="none"/>
                <w:lang w:val="en-US" w:eastAsia="zh-CN"/>
              </w:rPr>
              <w:t>1855.32</w:t>
            </w:r>
            <w:r>
              <w:rPr>
                <w:rFonts w:hint="eastAsia" w:ascii="宋体" w:hAnsi="宋体" w:eastAsia="宋体" w:cs="宋体"/>
                <w:color w:val="auto"/>
                <w:sz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资金来源</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1.2.2</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ascii="宋体" w:hAnsi="宋体" w:eastAsia="宋体" w:cs="宋体"/>
                <w:sz w:val="24"/>
                <w:szCs w:val="24"/>
                <w:highlight w:val="none"/>
              </w:rPr>
              <w:t>出资比例</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财政资金，100%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w:t>
            </w:r>
            <w:r>
              <w:rPr>
                <w:rFonts w:hint="eastAsia" w:ascii="宋体" w:hAnsi="宋体" w:cs="宋体"/>
                <w:color w:val="auto"/>
                <w:sz w:val="24"/>
                <w:szCs w:val="24"/>
                <w:highlight w:val="none"/>
                <w:lang w:val="en-US" w:eastAsia="zh-CN"/>
              </w:rPr>
              <w:t>3</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资金落实情况</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1.3.1</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招标范围</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lang w:val="en-US" w:eastAsia="zh-CN"/>
              </w:rPr>
              <w:t>郑州航空港经济综合实验区河东六号安置区第四幼儿园（瑞和幼儿园）建设项目施工准备阶段、施工阶段、项目移交阶段及保修期全过程监理（</w:t>
            </w:r>
            <w:r>
              <w:rPr>
                <w:rFonts w:hint="eastAsia" w:ascii="宋体" w:hAnsi="宋体" w:eastAsia="宋体" w:cs="宋体"/>
                <w:color w:val="auto"/>
                <w:kern w:val="0"/>
                <w:sz w:val="24"/>
                <w:szCs w:val="24"/>
                <w:highlight w:val="none"/>
                <w:lang w:val="en-US" w:eastAsia="zh-CN"/>
              </w:rPr>
              <w:t>包含本项目所有施工内容的监理(含人防工程）以及招标人平行发包的电力工程监理</w:t>
            </w:r>
            <w:r>
              <w:rPr>
                <w:rFonts w:hint="eastAsia" w:ascii="宋体" w:hAnsi="宋体" w:eastAsia="宋体" w:cs="宋体"/>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2</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监理服务期限</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（监理周期）</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提供项目施工准备阶段、施工阶段、项目移交阶段及保修期全过</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程监理；若出现施工合同工期延期，不计取监理延期费用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val="0"/>
              <w:snapToGrid/>
              <w:spacing w:before="0" w:beforeLines="50" w:line="360" w:lineRule="auto"/>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1.3.</w:t>
            </w:r>
            <w:r>
              <w:rPr>
                <w:rFonts w:hint="eastAsia" w:ascii="宋体" w:hAnsi="宋体" w:cs="宋体"/>
                <w:color w:val="auto"/>
                <w:kern w:val="0"/>
                <w:sz w:val="24"/>
                <w:szCs w:val="24"/>
                <w:highlight w:val="none"/>
                <w:lang w:val="en-US" w:eastAsia="zh-CN"/>
              </w:rPr>
              <w:t>3</w:t>
            </w:r>
          </w:p>
        </w:tc>
        <w:tc>
          <w:tcPr>
            <w:tcW w:w="1894" w:type="dxa"/>
            <w:vAlign w:val="center"/>
          </w:tcPr>
          <w:p>
            <w:pPr>
              <w:keepNext w:val="0"/>
              <w:keepLines w:val="0"/>
              <w:pageBreakBefore w:val="0"/>
              <w:widowControl w:val="0"/>
              <w:kinsoku/>
              <w:wordWrap/>
              <w:overflowPunct/>
              <w:topLinePunct w:val="0"/>
              <w:autoSpaceDE w:val="0"/>
              <w:autoSpaceDN w:val="0"/>
              <w:bidi w:val="0"/>
              <w:adjustRightInd w:val="0"/>
              <w:snapToGrid/>
              <w:spacing w:before="0" w:beforeLines="5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质量要求</w:t>
            </w:r>
          </w:p>
        </w:tc>
        <w:tc>
          <w:tcPr>
            <w:tcW w:w="7007" w:type="dxa"/>
            <w:vAlign w:val="center"/>
          </w:tcPr>
          <w:p>
            <w:pPr>
              <w:keepNext w:val="0"/>
              <w:keepLines w:val="0"/>
              <w:pageBreakBefore w:val="0"/>
              <w:widowControl w:val="0"/>
              <w:kinsoku/>
              <w:wordWrap/>
              <w:overflowPunct/>
              <w:topLinePunct w:val="0"/>
              <w:autoSpaceDE w:val="0"/>
              <w:autoSpaceDN w:val="0"/>
              <w:bidi w:val="0"/>
              <w:adjustRightInd w:val="0"/>
              <w:snapToGrid/>
              <w:spacing w:before="0" w:beforeLines="5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符合国家现行施工质量验收合格标准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投标人资质条件、能力</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1.资质要求：本次招标要求投标人须为在中华人民共和国境内注册的独立企业法人，具有建设行政主管部门颁发的工程监理综合资质或具有房屋建筑工程监理乙级及以上资质。</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总监理工程师资格要求：投标人拟派项目总监须具备在本单位注册的房屋建筑工程专业监理工程师注册证书（提供注册监理工程证书及全国建筑市场监督公共服务平台“四库一平台”查询结果信息），并具有工程类高级及以上职称，拟派项目总监须为投标人正式员工，提供社保部门出具的在本单位缴纳的养老保险证明或者网络查询打印件（至少包括2024年2月的缴纳证明。如因相关政策原因未及时缴纳的，需同时提供已缴纳的最近一个月社保证明及政府部门发布的相关政策文件，公司成立不足一个月的可不提供养老保险证明）。</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3.财务要求：投标人具有良好的财务状况，提供2022年度经会计师事务所或审计机构审计的年度财务审计报告，投标人的成立时间少于规定年份的，应提供成立以来的财务状况表。</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信誉要求：投标人须具备良好的社会信誉，没有处于被责令停产、停业情况，没有处于投标资格被暂停、取消状态，没有财产被接管、冻结和破产状态的情况，最近三年内未发生骗取中标，未发生严重违约或重大工程质量问题；在近三年内投标人、投标人法定代表人、拟派总监理工程师没有行贿犯罪行为（提供书面承诺）。投标人须提供在“信用中国”网站（https://www.creditchina.gov.cn）或“中国执行信息公开网”网站（http://zxgk.court.gov.cn）查询相关主体（含企业、企业法定代表人）未列入失信被执行人网页打印页，若上述对象有一个或一个以上被列入失信被执行人名单，拒绝其参与本次投标活动，其投标无效；查询时间为招标公告发布之日后，投标截止时间前，查询结果需显示网页查询时间。</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注：最近三年是指该项目投标截止之日起往前顺推三年，以事实实际发生的时间为准。</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其他要求：单位负责人为同一人或存在控股、管理关系的不同单位，不得同时参加本项目投标，否则，相关投标均无效。【提供加盖投标人公章的“国家企业信用信息公示系统”中公示的公司信息、股东（或投资人）信息】。</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6.本次招标不接受联合体投标，本项目采取资格后审，资格审查的具体要求见招标文件。资格后审不合格的投标人投标文件将按无效标处理。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1.4.2</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是否接受联合体投标</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1.9.1</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勘查现场</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2" w:char="0052"/>
            </w:r>
            <w:r>
              <w:rPr>
                <w:rFonts w:hint="eastAsia" w:ascii="宋体" w:hAnsi="宋体" w:eastAsia="宋体" w:cs="宋体"/>
                <w:color w:val="auto"/>
                <w:sz w:val="24"/>
                <w:highlight w:val="none"/>
                <w:lang w:val="en-US" w:eastAsia="zh-CN"/>
              </w:rPr>
              <w:t>不组织，自行踏勘</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sym w:font="Wingdings 2" w:char="00A3"/>
            </w:r>
            <w:r>
              <w:rPr>
                <w:rFonts w:hint="eastAsia" w:ascii="宋体" w:hAnsi="宋体" w:cs="宋体"/>
                <w:color w:val="auto"/>
                <w:sz w:val="24"/>
                <w:highlight w:val="none"/>
                <w:lang w:val="en-US" w:eastAsia="zh-CN"/>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1.10.1</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投标预备会</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1.10.2</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投标人提出问题的截止时间</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递交投标文件的截止之日17日前，在郑州航空港经济综合实验区（郑州新郑综合保税区）公共资源交易中心平台交易平台系统提出，并上传可编辑的word版及加盖公章的 PDF 附件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以便招标人回复。提问时将问题分为三个部分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一、图纸部分；二、工程量清单及报价要求部分；三、其他部分。</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在规定时间后提交的疑问，招标人有权不予受理。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1.10.3</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招标人书面澄清的时间</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递交投标文件截止时间</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日前，通过郑州航空港经济综合实验区（郑州新郑综合保税区）公共资源交易中心平台发放</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提醒</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各投标人应在下载招标文件后及时</w:t>
            </w:r>
            <w:r>
              <w:rPr>
                <w:rFonts w:hint="eastAsia" w:ascii="宋体" w:hAnsi="宋体" w:cs="宋体"/>
                <w:color w:val="auto"/>
                <w:sz w:val="24"/>
                <w:highlight w:val="none"/>
                <w:lang w:val="en-US" w:eastAsia="zh-CN"/>
              </w:rPr>
              <w:t>关注</w:t>
            </w:r>
            <w:r>
              <w:rPr>
                <w:rFonts w:hint="eastAsia" w:ascii="宋体" w:hAnsi="宋体" w:eastAsia="宋体" w:cs="宋体"/>
                <w:color w:val="auto"/>
                <w:sz w:val="24"/>
                <w:highlight w:val="none"/>
                <w:lang w:val="en-US" w:eastAsia="zh-CN"/>
              </w:rPr>
              <w:t>郑州航空港经济综合实验区（郑州新郑综合保税区）公共资源交易中心电子平台是否刊登本项目招标文件补充文件等资料，并自行下载，如由于投标人未看到并及时下载文件资料而带来的风险，招标人不承担任何责任</w:t>
            </w: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1.11</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分包</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1.12</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偏离</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只允许正偏离（即投标</w:t>
            </w:r>
            <w:r>
              <w:rPr>
                <w:rFonts w:hint="eastAsia" w:ascii="宋体" w:hAnsi="宋体" w:cs="宋体"/>
                <w:color w:val="auto"/>
                <w:sz w:val="24"/>
                <w:highlight w:val="none"/>
                <w:lang w:val="en-US" w:eastAsia="zh-CN"/>
              </w:rPr>
              <w:t>文</w:t>
            </w:r>
            <w:r>
              <w:rPr>
                <w:rFonts w:hint="eastAsia" w:ascii="宋体" w:hAnsi="宋体" w:eastAsia="宋体" w:cs="宋体"/>
                <w:color w:val="auto"/>
                <w:sz w:val="24"/>
                <w:highlight w:val="none"/>
                <w:lang w:val="en-US" w:eastAsia="zh-CN"/>
              </w:rPr>
              <w:t>件中的相关技术要求优于招标文件要求）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2.1</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构成招标文件的其他材料</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除招标文件外，招标人在招标期间发出的澄清、修改、补充、补</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遗和其它有效正式函件等内容均是招标文件的组成部分。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2.2.1</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投标人要求澄清招标文件的截止时间</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sz w:val="24"/>
                <w:highlight w:val="none"/>
              </w:rPr>
              <w:t>递交投标文件的截止之日17日前</w:t>
            </w:r>
            <w:r>
              <w:rPr>
                <w:rFonts w:hint="eastAsia" w:ascii="宋体" w:hAnsi="宋体" w:eastAsia="宋体" w:cs="宋体"/>
                <w:color w:val="auto"/>
                <w:sz w:val="24"/>
                <w:highlight w:val="none"/>
                <w:lang w:val="en-US" w:eastAsia="zh-CN"/>
              </w:rPr>
              <w:t>，在</w:t>
            </w:r>
            <w:r>
              <w:rPr>
                <w:rFonts w:hint="eastAsia" w:ascii="宋体" w:hAnsi="宋体" w:cs="宋体"/>
                <w:color w:val="auto"/>
                <w:sz w:val="24"/>
                <w:highlight w:val="none"/>
                <w:lang w:val="en-US" w:eastAsia="zh-CN"/>
              </w:rPr>
              <w:t>郑州</w:t>
            </w:r>
            <w:r>
              <w:rPr>
                <w:rFonts w:hint="eastAsia" w:ascii="宋体" w:hAnsi="宋体" w:eastAsia="宋体" w:cs="宋体"/>
                <w:color w:val="auto"/>
                <w:sz w:val="24"/>
                <w:highlight w:val="none"/>
                <w:lang w:val="en-US" w:eastAsia="zh-CN"/>
              </w:rPr>
              <w:t>航空港经济综合实验区（郑州新郑综合保税区）公共资源交易中心平台交易平台系统提出，</w:t>
            </w:r>
            <w:r>
              <w:rPr>
                <w:rFonts w:hint="eastAsia" w:ascii="宋体" w:hAnsi="宋体" w:cs="宋体"/>
                <w:color w:val="auto"/>
                <w:sz w:val="24"/>
                <w:highlight w:val="none"/>
                <w:lang w:val="en-US" w:eastAsia="zh-CN"/>
              </w:rPr>
              <w:t>并</w:t>
            </w:r>
            <w:r>
              <w:rPr>
                <w:rFonts w:hint="eastAsia" w:ascii="宋体" w:hAnsi="宋体" w:eastAsia="宋体" w:cs="宋体"/>
                <w:color w:val="auto"/>
                <w:sz w:val="24"/>
                <w:highlight w:val="none"/>
                <w:lang w:val="en-US" w:eastAsia="zh-CN"/>
              </w:rPr>
              <w:t>上传可编辑的</w:t>
            </w:r>
            <w:r>
              <w:rPr>
                <w:rFonts w:hint="eastAsia" w:ascii="宋体" w:hAnsi="宋体" w:cs="宋体"/>
                <w:color w:val="auto"/>
                <w:sz w:val="24"/>
                <w:highlight w:val="none"/>
                <w:lang w:val="en-US" w:eastAsia="zh-CN"/>
              </w:rPr>
              <w:t>word</w:t>
            </w:r>
            <w:r>
              <w:rPr>
                <w:rFonts w:hint="eastAsia" w:ascii="宋体" w:hAnsi="宋体" w:eastAsia="宋体" w:cs="宋体"/>
                <w:color w:val="auto"/>
                <w:sz w:val="24"/>
                <w:highlight w:val="none"/>
                <w:lang w:val="en-US" w:eastAsia="zh-CN"/>
              </w:rPr>
              <w:t>版及加盖公章的</w:t>
            </w:r>
            <w:r>
              <w:rPr>
                <w:rFonts w:hint="eastAsia" w:ascii="宋体" w:hAnsi="宋体" w:cs="宋体"/>
                <w:color w:val="auto"/>
                <w:sz w:val="24"/>
                <w:highlight w:val="none"/>
                <w:lang w:val="en-US" w:eastAsia="zh-CN"/>
              </w:rPr>
              <w:t>PDF</w:t>
            </w:r>
            <w:r>
              <w:rPr>
                <w:rFonts w:hint="eastAsia" w:ascii="宋体" w:hAnsi="宋体" w:eastAsia="宋体" w:cs="宋体"/>
                <w:color w:val="auto"/>
                <w:sz w:val="24"/>
                <w:highlight w:val="none"/>
                <w:lang w:val="en-US" w:eastAsia="zh-CN"/>
              </w:rPr>
              <w:t>附件，以便招标人及时回复。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2.2.3</w:t>
            </w:r>
          </w:p>
        </w:tc>
        <w:tc>
          <w:tcPr>
            <w:tcW w:w="1894" w:type="dxa"/>
            <w:vAlign w:val="center"/>
          </w:tcPr>
          <w:p>
            <w:pPr>
              <w:spacing w:line="288"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招标文件的修改及澄清</w:t>
            </w:r>
          </w:p>
        </w:tc>
        <w:tc>
          <w:tcPr>
            <w:tcW w:w="7007" w:type="dxa"/>
            <w:vAlign w:val="center"/>
          </w:tcPr>
          <w:p>
            <w:pPr>
              <w:pStyle w:val="15"/>
              <w:spacing w:line="288" w:lineRule="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招标文件的补充、澄清、修改、答疑均在“郑州航空港经济综合实验区（郑州新郑综合保税区）公共资源交易中心网站”线上发布，请投标人及时关注线上系统的补充通知，由于投标人未及时查看有关通知造成的损失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3.1.</w:t>
            </w:r>
            <w:r>
              <w:rPr>
                <w:rFonts w:hint="eastAsia" w:ascii="宋体" w:hAnsi="宋体" w:cs="宋体"/>
                <w:color w:val="auto"/>
                <w:kern w:val="0"/>
                <w:sz w:val="24"/>
                <w:szCs w:val="24"/>
                <w:highlight w:val="none"/>
                <w:lang w:val="en-US" w:eastAsia="zh-CN"/>
              </w:rPr>
              <w:t>1</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构成投标文件的其他材料</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投标人认为需要提交的其他证明材料。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3.2.1</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增值税税金的计算方法</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增值税税率按照国家规定计取，包含在投标报价中，若在合同履行期间，如遇国家的税率调整，不含税价格不因国家税率变化而变化，税金金额随着国家规定的税率确定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3.2.3</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报价方式</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采用固定总价（含增值税）的方式。投标报价应依据国家发展改革委关于进一步放开建设项目专业服务价格的通知（发改价格〔2015〕299号）规定、招标文件、招标文件澄清（答疑）纪要、招标文件修改补充通知等，结合本项目具体特点和技术要求、自身综合实力、市场行情等自主报价。</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投标人的投标报价，为监理服务期内所提供的全部服务所需要的费用。已综合包括了实施完成本项目全部监理工作所需的生活设施、劳务费、技术服务费、测量、交通、通讯、保险、税费和利润以及为完成本工程所提供的专用仪器、设备和设施等与监理业务有关的所有一切费用。</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（3）投标人在报价时应考虑监理期间的物价上涨、政策性调整等风险因素。合同履行过程中的合同固定费率不予调整。</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（4）监理服务费包含基本费、考核费两部分，其中基本费占85%的比例，考核费占15%的比例。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3.2.4</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最高投标限价</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有，最高投标限价为</w:t>
            </w:r>
            <w:r>
              <w:rPr>
                <w:rFonts w:hint="eastAsia" w:ascii="宋体" w:hAnsi="宋体" w:cs="宋体"/>
                <w:color w:val="auto"/>
                <w:sz w:val="24"/>
                <w:highlight w:val="none"/>
                <w:lang w:val="en-US" w:eastAsia="zh-CN"/>
              </w:rPr>
              <w:t>12.3万</w:t>
            </w:r>
            <w:r>
              <w:rPr>
                <w:rFonts w:hint="eastAsia" w:ascii="宋体" w:hAnsi="宋体" w:eastAsia="宋体" w:cs="宋体"/>
                <w:color w:val="auto"/>
                <w:sz w:val="24"/>
                <w:highlight w:val="none"/>
                <w:lang w:val="en-US" w:eastAsia="zh-CN"/>
              </w:rPr>
              <w:t xml:space="preserve">元（含增值税）， </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注：投标人的投标报价不得超过本项目的最高投标限价，否则对其投标文件做否决处理。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投标有效期</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4.1</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投标保证金</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投标保证金的形式：</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转账或电汇投标保证金的金额：</w:t>
            </w:r>
            <w:r>
              <w:rPr>
                <w:rFonts w:hint="eastAsia" w:ascii="宋体" w:hAnsi="宋体" w:cs="宋体"/>
                <w:color w:val="auto"/>
                <w:sz w:val="24"/>
                <w:highlight w:val="none"/>
                <w:lang w:val="en-US" w:eastAsia="zh-CN"/>
              </w:rPr>
              <w:t>壹</w:t>
            </w:r>
            <w:r>
              <w:rPr>
                <w:rFonts w:hint="eastAsia" w:ascii="宋体" w:hAnsi="宋体" w:eastAsia="宋体" w:cs="宋体"/>
                <w:color w:val="auto"/>
                <w:sz w:val="24"/>
                <w:highlight w:val="none"/>
                <w:lang w:val="en-US" w:eastAsia="zh-CN"/>
              </w:rPr>
              <w:t>万元整（¥:</w:t>
            </w:r>
            <w:r>
              <w:rPr>
                <w:rFonts w:hint="eastAsia" w:ascii="宋体" w:hAnsi="宋体" w:cs="宋体"/>
                <w:color w:val="auto"/>
                <w:sz w:val="24"/>
                <w:highlight w:val="none"/>
                <w:lang w:val="en-US" w:eastAsia="zh-CN"/>
              </w:rPr>
              <w:t>10000</w:t>
            </w:r>
            <w:r>
              <w:rPr>
                <w:rFonts w:hint="eastAsia" w:ascii="宋体" w:hAnsi="宋体" w:eastAsia="宋体" w:cs="宋体"/>
                <w:color w:val="auto"/>
                <w:sz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递交截止时间：投标截</w:t>
            </w:r>
            <w:r>
              <w:rPr>
                <w:rFonts w:hint="eastAsia" w:ascii="宋体" w:hAnsi="宋体" w:cs="宋体"/>
                <w:color w:val="auto"/>
                <w:sz w:val="24"/>
                <w:highlight w:val="none"/>
                <w:lang w:val="en-US" w:eastAsia="zh-CN"/>
              </w:rPr>
              <w:t>止</w:t>
            </w:r>
            <w:r>
              <w:rPr>
                <w:rFonts w:hint="eastAsia" w:ascii="宋体" w:hAnsi="宋体" w:eastAsia="宋体" w:cs="宋体"/>
                <w:color w:val="auto"/>
                <w:sz w:val="24"/>
                <w:highlight w:val="none"/>
                <w:lang w:val="en-US" w:eastAsia="zh-CN"/>
              </w:rPr>
              <w:t>时间前到账。</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递交方式</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从投标人基本账户转至下列账户</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户名：郑州航空港经济综合实验区（郑州新郑综合保税区）公共资源交易中心；</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开户行：中信银行股份有限公司郑州航空港区支行</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子账号：</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方式2：</w:t>
            </w:r>
            <w:r>
              <w:rPr>
                <w:rFonts w:hint="eastAsia" w:ascii="宋体" w:hAnsi="宋体" w:eastAsia="宋体" w:cs="宋体"/>
                <w:color w:val="auto"/>
                <w:sz w:val="24"/>
                <w:highlight w:val="none"/>
                <w:lang w:val="en-US" w:eastAsia="zh-CN"/>
              </w:rPr>
              <w:t>电子保函，投标人通过郑州航空港经济综合实验区（郑州新郑综合保税区）公共资源交易中心交易系统进行电子保函申请</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具体详见</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HYPERLINK "http://www.zzhkgggzy.cn/zzhkgsyqjyzx/" </w:instrText>
            </w:r>
            <w:r>
              <w:rPr>
                <w:rFonts w:hint="eastAsia" w:ascii="宋体" w:hAnsi="宋体" w:cs="宋体"/>
                <w:color w:val="auto"/>
                <w:sz w:val="24"/>
                <w:highlight w:val="none"/>
                <w:lang w:val="en-US" w:eastAsia="zh-CN"/>
              </w:rPr>
              <w:fldChar w:fldCharType="separate"/>
            </w:r>
            <w:r>
              <w:rPr>
                <w:rStyle w:val="40"/>
                <w:rFonts w:hint="eastAsia" w:ascii="宋体" w:hAnsi="宋体" w:cs="宋体"/>
                <w:sz w:val="24"/>
                <w:highlight w:val="none"/>
                <w:lang w:val="en-US" w:eastAsia="zh-CN"/>
              </w:rPr>
              <w:t>http://www.zzhkgggzy.cn/zzhkgsyqjyzx/</w:t>
            </w:r>
            <w:r>
              <w:rPr>
                <w:rFonts w:hint="eastAsia" w:ascii="宋体" w:hAnsi="宋体" w:cs="宋体"/>
                <w:color w:val="auto"/>
                <w:sz w:val="24"/>
                <w:highlight w:val="none"/>
                <w:lang w:val="en-US" w:eastAsia="zh-CN"/>
              </w:rPr>
              <w:fldChar w:fldCharType="end"/>
            </w:r>
            <w:r>
              <w:rPr>
                <w:rFonts w:hint="eastAsia" w:ascii="宋体" w:hAnsi="宋体" w:cs="宋体"/>
                <w:color w:val="auto"/>
                <w:sz w:val="24"/>
                <w:highlight w:val="none"/>
                <w:lang w:val="en-US" w:eastAsia="zh-CN"/>
              </w:rPr>
              <w:t>InfoDetail/</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?InfoID=dd792dbd-0866-44bd-827b-7b8378fc1547&amp;CategoryNum=019“</w:t>
            </w:r>
            <w:r>
              <w:rPr>
                <w:rFonts w:hint="eastAsia" w:ascii="宋体" w:hAnsi="宋体" w:eastAsia="宋体" w:cs="宋体"/>
                <w:color w:val="auto"/>
                <w:sz w:val="24"/>
                <w:highlight w:val="none"/>
                <w:lang w:val="en-US" w:eastAsia="zh-CN"/>
              </w:rPr>
              <w:t>《关于郑州航空港经济综合实验区（郑州新郑综合保税区）公共资源交易中心金融服务功能上线运行的通知》</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《申请电子保函操作手册》</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。投标人将电子保函相关资料附在投标文件中，电子保函以电子开</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评标系统查询为准。</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投标人在规定的投标保证金递交截止时间前缴纳保证金 ， 转账交纳方式支持柜台转账 、网银转账 、电汇等形式（请勿使用结算卡进行转账）；</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请投标人严格按所投项目标段招标</w:t>
            </w:r>
            <w:r>
              <w:rPr>
                <w:rFonts w:hint="eastAsia" w:ascii="宋体" w:hAnsi="宋体" w:cs="宋体"/>
                <w:color w:val="auto"/>
                <w:sz w:val="24"/>
                <w:highlight w:val="none"/>
                <w:lang w:val="en-US" w:eastAsia="zh-CN"/>
              </w:rPr>
              <w:t>文件</w:t>
            </w:r>
            <w:r>
              <w:rPr>
                <w:rFonts w:hint="eastAsia" w:ascii="宋体" w:hAnsi="宋体" w:eastAsia="宋体" w:cs="宋体"/>
                <w:color w:val="auto"/>
                <w:sz w:val="24"/>
                <w:highlight w:val="none"/>
                <w:lang w:val="en-US" w:eastAsia="zh-CN"/>
              </w:rPr>
              <w:t>中提供的账号交纳保证金，详细核对，确保相关信息无误；缴纳时应做到“ 一项目一标段一缴纳”，不能单笔缴纳两个及以上项目（或标段）的保证金。</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投标人缴纳投标保证金时，务必在用途栏中注明项目编号及所投标段，未在用途栏</w:t>
            </w:r>
            <w:r>
              <w:rPr>
                <w:rFonts w:hint="eastAsia" w:ascii="宋体" w:hAnsi="宋体" w:cs="宋体"/>
                <w:color w:val="auto"/>
                <w:sz w:val="24"/>
                <w:highlight w:val="none"/>
                <w:lang w:val="en-US" w:eastAsia="zh-CN"/>
              </w:rPr>
              <w:t>注明</w:t>
            </w:r>
            <w:r>
              <w:rPr>
                <w:rFonts w:hint="eastAsia" w:ascii="宋体" w:hAnsi="宋体" w:eastAsia="宋体" w:cs="宋体"/>
                <w:color w:val="auto"/>
                <w:sz w:val="24"/>
                <w:highlight w:val="none"/>
                <w:lang w:val="en-US" w:eastAsia="zh-CN"/>
              </w:rPr>
              <w:t>项目编号或</w:t>
            </w:r>
            <w:r>
              <w:rPr>
                <w:rFonts w:hint="eastAsia" w:ascii="宋体" w:hAnsi="宋体" w:cs="宋体"/>
                <w:color w:val="auto"/>
                <w:sz w:val="24"/>
                <w:highlight w:val="none"/>
                <w:lang w:val="en-US" w:eastAsia="zh-CN"/>
              </w:rPr>
              <w:t>注明</w:t>
            </w:r>
            <w:r>
              <w:rPr>
                <w:rFonts w:hint="eastAsia" w:ascii="宋体" w:hAnsi="宋体" w:eastAsia="宋体" w:cs="宋体"/>
                <w:color w:val="auto"/>
                <w:sz w:val="24"/>
                <w:highlight w:val="none"/>
                <w:lang w:val="en-US" w:eastAsia="zh-CN"/>
              </w:rPr>
              <w:t>错误的，会导致该项目投标保证金无法确认，由此产生的后果由投标人自负。本条不作为无效标条款。</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4</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投标保证金以到达保证金账户的时间</w:t>
            </w:r>
            <w:r>
              <w:rPr>
                <w:rFonts w:hint="eastAsia" w:ascii="宋体" w:hAnsi="宋体" w:cs="宋体"/>
                <w:color w:val="auto"/>
                <w:sz w:val="24"/>
                <w:highlight w:val="none"/>
                <w:lang w:val="en-US" w:eastAsia="zh-CN"/>
              </w:rPr>
              <w:t>为</w:t>
            </w:r>
            <w:r>
              <w:rPr>
                <w:rFonts w:hint="eastAsia" w:ascii="宋体" w:hAnsi="宋体" w:eastAsia="宋体" w:cs="宋体"/>
                <w:color w:val="auto"/>
                <w:sz w:val="24"/>
                <w:highlight w:val="none"/>
                <w:lang w:val="en-US" w:eastAsia="zh-CN"/>
              </w:rPr>
              <w:t>准，请投标人合理安排保证金缴纳时间（各银行节假日期间停止对公转账，部分银行对公转账周期较长）。</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若因收款人名称过长转账失败，可将收款人名称中</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括号</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使用半角输入。</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交易中心对缴入的保证金不再开具统一的收款收据；加盖单位公章的开户许可证（基本存款账户信息）、缴款凭证复印件应装订在投标文件内，开标当天以交易中心开评标系统查询的结果为准。</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电子保函均为暗文显示，最终以交易系统查询为准。采用转账或电子保函的以开标现场查询为准。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3.4.4</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其他可以不予退还投标保证金的情形</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经查实投标人在本项目投标时有串通投标、弄虚作假、行贿等违法行为的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5.2</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近年财务状况的年份要求</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2022年度（企业成立不足三年的，可自成立年度开始提供）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5.3</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近年完成的类似项目的年份</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要求</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指20</w:t>
            </w:r>
            <w:r>
              <w:rPr>
                <w:rFonts w:hint="eastAsia" w:ascii="宋体" w:hAnsi="宋体" w:cs="宋体"/>
                <w:color w:val="auto"/>
                <w:sz w:val="24"/>
                <w:highlight w:val="none"/>
                <w:lang w:val="en-US" w:eastAsia="zh-CN"/>
              </w:rPr>
              <w:t>21</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日以来（以合同签订时间为准，招标文件资格要求及评标办法要求另有规定的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从其约定）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5.5</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近年发生的诉讼及仲裁情况的年份要求</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最近三年是指该项目投标截止之日起往前顺推三年</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以事实实际</w:t>
            </w:r>
            <w:r>
              <w:rPr>
                <w:rFonts w:hint="eastAsia" w:ascii="宋体" w:hAnsi="宋体" w:cs="宋体"/>
                <w:color w:val="auto"/>
                <w:sz w:val="24"/>
                <w:highlight w:val="none"/>
                <w:lang w:val="en-US" w:eastAsia="zh-CN"/>
              </w:rPr>
              <w:t>发生</w:t>
            </w:r>
            <w:r>
              <w:rPr>
                <w:rFonts w:hint="eastAsia" w:ascii="宋体" w:hAnsi="宋体" w:eastAsia="宋体" w:cs="宋体"/>
                <w:color w:val="auto"/>
                <w:sz w:val="24"/>
                <w:highlight w:val="none"/>
                <w:lang w:val="en-US" w:eastAsia="zh-CN"/>
              </w:rPr>
              <w:t>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6</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是否允许递交备选投标方案</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7.3</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签字</w:t>
            </w:r>
            <w:r>
              <w:rPr>
                <w:rFonts w:hint="eastAsia" w:ascii="宋体" w:hAnsi="宋体" w:eastAsia="宋体" w:cs="宋体"/>
                <w:color w:val="auto"/>
                <w:sz w:val="24"/>
                <w:highlight w:val="none"/>
                <w:lang w:val="en-US" w:eastAsia="zh-CN"/>
              </w:rPr>
              <w:t>或盖章要求</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投标函及投标函附录由投标人的法定代表人或其委托代理人</w:t>
            </w:r>
            <w:r>
              <w:rPr>
                <w:rFonts w:hint="eastAsia" w:ascii="宋体" w:hAnsi="宋体" w:cs="宋体"/>
                <w:color w:val="auto"/>
                <w:sz w:val="24"/>
                <w:highlight w:val="none"/>
                <w:lang w:val="en-US" w:eastAsia="zh-CN"/>
              </w:rPr>
              <w:t>签字</w:t>
            </w:r>
            <w:r>
              <w:rPr>
                <w:rFonts w:hint="eastAsia" w:ascii="宋体" w:hAnsi="宋体" w:eastAsia="宋体" w:cs="宋体"/>
                <w:color w:val="auto"/>
                <w:sz w:val="24"/>
                <w:highlight w:val="none"/>
                <w:lang w:val="en-US" w:eastAsia="zh-CN"/>
              </w:rPr>
              <w:t>（或盖章）</w:t>
            </w:r>
            <w:r>
              <w:rPr>
                <w:rFonts w:hint="eastAsia" w:ascii="宋体" w:hAnsi="宋体" w:cs="宋体"/>
                <w:color w:val="auto"/>
                <w:sz w:val="24"/>
                <w:highlight w:val="none"/>
                <w:lang w:val="en-US" w:eastAsia="zh-CN"/>
              </w:rPr>
              <w:t>，并盖</w:t>
            </w:r>
            <w:r>
              <w:rPr>
                <w:rFonts w:hint="eastAsia" w:ascii="宋体" w:hAnsi="宋体" w:eastAsia="宋体" w:cs="宋体"/>
                <w:color w:val="auto"/>
                <w:sz w:val="24"/>
                <w:highlight w:val="none"/>
                <w:lang w:val="en-US" w:eastAsia="zh-CN"/>
              </w:rPr>
              <w:t>单位公章。</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（2）已</w:t>
            </w:r>
            <w:r>
              <w:rPr>
                <w:rFonts w:hint="eastAsia" w:ascii="宋体" w:hAnsi="宋体" w:eastAsia="宋体" w:cs="宋体"/>
                <w:color w:val="auto"/>
                <w:sz w:val="24"/>
                <w:highlight w:val="none"/>
                <w:lang w:val="en-US" w:eastAsia="zh-CN"/>
              </w:rPr>
              <w:t>标价工程量清单只要求封面加盖投标人公章，其他</w:t>
            </w:r>
            <w:r>
              <w:rPr>
                <w:rFonts w:hint="eastAsia" w:ascii="宋体" w:hAnsi="宋体" w:cs="宋体"/>
                <w:color w:val="auto"/>
                <w:sz w:val="24"/>
                <w:highlight w:val="none"/>
                <w:lang w:val="en-US" w:eastAsia="zh-CN"/>
              </w:rPr>
              <w:t>签字盖章</w:t>
            </w:r>
            <w:r>
              <w:rPr>
                <w:rFonts w:hint="eastAsia" w:ascii="宋体" w:hAnsi="宋体" w:eastAsia="宋体" w:cs="宋体"/>
                <w:color w:val="auto"/>
                <w:sz w:val="24"/>
                <w:highlight w:val="none"/>
                <w:lang w:val="en-US" w:eastAsia="zh-CN"/>
              </w:rPr>
              <w:t>不做强制性要求。</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投标文件中的投标人电子</w:t>
            </w:r>
            <w:r>
              <w:rPr>
                <w:rFonts w:hint="eastAsia" w:ascii="宋体" w:hAnsi="宋体" w:cs="宋体"/>
                <w:color w:val="auto"/>
                <w:sz w:val="24"/>
                <w:highlight w:val="none"/>
                <w:lang w:val="en-US" w:eastAsia="zh-CN"/>
              </w:rPr>
              <w:t>签章</w:t>
            </w:r>
            <w:r>
              <w:rPr>
                <w:rFonts w:hint="eastAsia" w:ascii="宋体" w:hAnsi="宋体" w:eastAsia="宋体" w:cs="宋体"/>
                <w:color w:val="auto"/>
                <w:sz w:val="24"/>
                <w:highlight w:val="none"/>
                <w:lang w:val="en-US" w:eastAsia="zh-CN"/>
              </w:rPr>
              <w:t>与盖章（签字）具有同等效力。</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若有委托代理人的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且委托代理人没有CA锁，则投标文件需上传有手写</w:t>
            </w:r>
            <w:r>
              <w:rPr>
                <w:rFonts w:hint="eastAsia" w:ascii="宋体" w:hAnsi="宋体" w:cs="宋体"/>
                <w:color w:val="auto"/>
                <w:sz w:val="24"/>
                <w:highlight w:val="none"/>
                <w:lang w:val="en-US" w:eastAsia="zh-CN"/>
              </w:rPr>
              <w:t>签名</w:t>
            </w:r>
            <w:r>
              <w:rPr>
                <w:rFonts w:hint="eastAsia" w:ascii="宋体" w:hAnsi="宋体" w:eastAsia="宋体" w:cs="宋体"/>
                <w:color w:val="auto"/>
                <w:sz w:val="24"/>
                <w:highlight w:val="none"/>
                <w:lang w:val="en-US" w:eastAsia="zh-CN"/>
              </w:rPr>
              <w:t>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val="en-US" w:eastAsia="zh-CN"/>
              </w:rPr>
              <w:t>7.4</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投标文件份数</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仅需按要求上传加密的电子投标文件，无需提供其他版本投标文件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4.1.1</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投标文件加密</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按照招标文件和航空港经济综合实验区公共资源交易中心电子招标投标交易平台的系统要求加密投标文件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4.2.1</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投标截止时间</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2024年 月 日 时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4.2.2</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递交投标文件地点</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投标人应在截止时间前通过郑州航空港经济综合实验区（郑州新郑综合保税区）公共资源交易中心电子招标投标交易平台</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 xml:space="preserve"> (http://zzggzy.zhengzhou.gov.cn/) 递交（上传）加密版电子投标文件。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4.2.3</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是否退还投标文件</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5.1</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开标时间和地点</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开标时间：同投标截止时间。</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开标地点</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本项目采用</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远程不见面</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开标方式</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投标人无需到开标现场参加开标会议</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不再要求投标人到达现场提交任何资料。不见面开标的具体事宜请查阅郑州航空港经济综合实验区（郑州新郑综合保税区）</w:t>
            </w:r>
            <w:r>
              <w:rPr>
                <w:rFonts w:hint="eastAsia" w:ascii="宋体" w:hAnsi="宋体" w:cs="宋体"/>
                <w:color w:val="auto"/>
                <w:sz w:val="24"/>
                <w:highlight w:val="none"/>
                <w:lang w:val="en-US" w:eastAsia="zh-CN"/>
              </w:rPr>
              <w:t>公共资源</w:t>
            </w:r>
            <w:r>
              <w:rPr>
                <w:rFonts w:hint="eastAsia" w:ascii="宋体" w:hAnsi="宋体" w:eastAsia="宋体" w:cs="宋体"/>
                <w:color w:val="auto"/>
                <w:sz w:val="24"/>
                <w:highlight w:val="none"/>
                <w:lang w:val="en-US" w:eastAsia="zh-CN"/>
              </w:rPr>
              <w:t>交易中心网站“ 公共服务</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下载专区 ”栏目内《郑州航空港经济综合实验区公共资源交易中心不见面开标大厅操作手册》</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投标人应当在投标截止时间前，做好不见面开标的准备工作，否则由此可能引起的解密失败或无法解密等问题由投标人自行承担。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5.</w:t>
            </w:r>
            <w:r>
              <w:rPr>
                <w:rFonts w:hint="eastAsia" w:ascii="宋体" w:hAnsi="宋体" w:cs="宋体"/>
                <w:color w:val="auto"/>
                <w:kern w:val="0"/>
                <w:sz w:val="24"/>
                <w:szCs w:val="24"/>
                <w:highlight w:val="none"/>
                <w:lang w:val="en-US" w:eastAsia="zh-CN"/>
              </w:rPr>
              <w:t>2</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开标主要程序</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（1）查看投标人</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（2）保证金查询</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（3）标书解密</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注意事项：本项目投标文件解密时间为30分钟，投标人应在规定的解密时间内用加密生成投标文件的CA锁完成解密，因投标人原因造成电子投标文件不能解密的，招标人有权退回其投标文件，造成的一切损失投标人自行承担。</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（4）标书导入</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（5）唱标</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（6）投标人异议与答复（如有）</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6.1.1</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评标委员会的组建</w:t>
            </w:r>
          </w:p>
        </w:tc>
        <w:tc>
          <w:tcPr>
            <w:tcW w:w="7007" w:type="dxa"/>
            <w:vAlign w:val="center"/>
          </w:tcPr>
          <w:p>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rPr>
              <w:t>评标委员会构成：5人</w:t>
            </w:r>
          </w:p>
          <w:p>
            <w:pPr>
              <w:autoSpaceDE w:val="0"/>
              <w:autoSpaceDN w:val="0"/>
              <w:adjustRightInd w:val="0"/>
              <w:spacing w:line="360" w:lineRule="auto"/>
              <w:jc w:val="left"/>
              <w:rPr>
                <w:rFonts w:ascii="宋体" w:hAnsi="宋体" w:cs="宋体"/>
                <w:kern w:val="0"/>
                <w:sz w:val="24"/>
                <w:highlight w:val="none"/>
              </w:rPr>
            </w:pPr>
            <w:r>
              <w:rPr>
                <w:rFonts w:hint="eastAsia" w:ascii="宋体" w:hAnsi="宋体" w:cs="宋体"/>
                <w:kern w:val="0"/>
                <w:sz w:val="24"/>
                <w:highlight w:val="none"/>
              </w:rPr>
              <w:t>评标专家组成：由招标人代表1人，经济类、技术类专家4人组成</w:t>
            </w:r>
            <w:r>
              <w:rPr>
                <w:rFonts w:hint="eastAsia" w:ascii="宋体" w:hAnsi="宋体" w:cs="宋体"/>
                <w:color w:val="auto"/>
                <w:sz w:val="24"/>
                <w:highlight w:val="none"/>
                <w:lang w:val="en-US" w:eastAsia="zh-CN"/>
              </w:rPr>
              <w:t>，</w:t>
            </w:r>
            <w:r>
              <w:rPr>
                <w:rFonts w:hint="eastAsia" w:ascii="宋体" w:hAnsi="宋体" w:cs="宋体"/>
                <w:kern w:val="0"/>
                <w:sz w:val="24"/>
                <w:highlight w:val="none"/>
              </w:rPr>
              <w:t>评标专家确定方式：</w:t>
            </w:r>
          </w:p>
          <w:p>
            <w:pPr>
              <w:autoSpaceDE w:val="0"/>
              <w:autoSpaceDN w:val="0"/>
              <w:adjustRightIn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sym w:font="Wingdings 2" w:char="0052"/>
            </w:r>
            <w:r>
              <w:rPr>
                <w:rFonts w:hint="eastAsia" w:ascii="宋体" w:hAnsi="宋体" w:cs="宋体"/>
                <w:kern w:val="0"/>
                <w:sz w:val="24"/>
                <w:highlight w:val="none"/>
              </w:rPr>
              <w:t>开标时在监督部门的监督下从河南省综合评标专家库中采用电脑随机抽签方式确定，负责评标活动。（默认）</w:t>
            </w:r>
          </w:p>
          <w:p>
            <w:pPr>
              <w:autoSpaceDE w:val="0"/>
              <w:autoSpaceDN w:val="0"/>
              <w:adjustRightInd w:val="0"/>
              <w:spacing w:line="360" w:lineRule="auto"/>
              <w:jc w:val="left"/>
              <w:rPr>
                <w:rFonts w:hint="eastAsia" w:ascii="宋体" w:hAnsi="宋体" w:eastAsia="宋体" w:cs="宋体"/>
                <w:color w:val="auto"/>
                <w:sz w:val="24"/>
                <w:highlight w:val="none"/>
                <w:lang w:val="en-US" w:eastAsia="zh-CN"/>
              </w:rPr>
            </w:pPr>
            <w:r>
              <w:rPr>
                <w:rFonts w:hint="eastAsia" w:ascii="宋体" w:hAnsi="宋体" w:cs="宋体"/>
                <w:kern w:val="0"/>
                <w:sz w:val="24"/>
                <w:highlight w:val="none"/>
              </w:rPr>
              <w:sym w:font="Wingdings 2" w:char="00A3"/>
            </w:r>
            <w:r>
              <w:rPr>
                <w:rFonts w:hint="eastAsia" w:ascii="宋体" w:hAnsi="宋体" w:cs="宋体"/>
                <w:kern w:val="0"/>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rPr>
              <w:t>6.3.2</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是否授权评标委员会确定中标人</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否</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河南省住房和城乡建设厅关于同意郑州航空港经济综合实验区开展房屋建筑和市政基础设施工程招标投标领域改革试点的批复》中附件《郑州航空港经济综合实验区房屋建筑和市政基础设施工程招标投标领域改革试点实施方案》以及《郑州航空港经济综合实验区党政办公室关于印发郑州航空港经济综合实验区房屋建筑和市政基础设施工程招标投标“评定分离”实施意见(试行)和政府采购评标定标分离管理办法(试行)的通知》（郑港办[2023]81号文），本项目采用评标定标分离方式，评标办法采用综合评估法，评标委员会按照招标文件要求推荐不标明排序的2-5家中标候选人，具体如下：</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当通过初步评审的单位≥5家时，推荐5名中标候选人且不标明排列顺序；</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当通过初步评审的单位≥3家且＜5家时，全部推为中标候选人且不标明排列顺序；</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当通过初步评审的单位＜3家时，由评标委员会判断具有竞争性后推荐2名中标候选人且不标明排列顺序。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7.1</w:t>
            </w:r>
          </w:p>
        </w:tc>
        <w:tc>
          <w:tcPr>
            <w:tcW w:w="1894" w:type="dxa"/>
            <w:vAlign w:val="center"/>
          </w:tcPr>
          <w:p>
            <w:pPr>
              <w:pStyle w:val="55"/>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highlight w:val="none"/>
                <w:lang w:val="en-US" w:eastAsia="zh-CN"/>
              </w:rPr>
            </w:pPr>
            <w:r>
              <w:rPr>
                <w:rFonts w:hint="eastAsia"/>
                <w:sz w:val="24"/>
                <w:szCs w:val="24"/>
                <w:highlight w:val="none"/>
                <w:lang w:eastAsia="zh-CN"/>
              </w:rPr>
              <w:t>定标方式</w:t>
            </w:r>
          </w:p>
        </w:tc>
        <w:tc>
          <w:tcPr>
            <w:tcW w:w="7007" w:type="dxa"/>
            <w:vAlign w:val="center"/>
          </w:tcPr>
          <w:p>
            <w:pPr>
              <w:pStyle w:val="55"/>
              <w:keepNext w:val="0"/>
              <w:keepLines w:val="0"/>
              <w:pageBreakBefore w:val="0"/>
              <w:widowControl w:val="0"/>
              <w:tabs>
                <w:tab w:val="left" w:pos="2100"/>
              </w:tabs>
              <w:kinsoku/>
              <w:wordWrap/>
              <w:overflowPunct/>
              <w:topLinePunct w:val="0"/>
              <w:autoSpaceDE/>
              <w:autoSpaceDN/>
              <w:bidi w:val="0"/>
              <w:adjustRightInd/>
              <w:snapToGrid/>
              <w:spacing w:line="360" w:lineRule="auto"/>
              <w:textAlignment w:val="center"/>
              <w:rPr>
                <w:rFonts w:hint="eastAsia" w:ascii="宋体" w:hAnsi="宋体" w:cs="宋体"/>
                <w:color w:val="auto"/>
                <w:sz w:val="24"/>
                <w:highlight w:val="none"/>
                <w:lang w:val="en-US" w:eastAsia="zh-CN"/>
              </w:rPr>
            </w:pPr>
            <w:r>
              <w:rPr>
                <w:rFonts w:hint="eastAsia"/>
                <w:sz w:val="24"/>
                <w:szCs w:val="24"/>
                <w:highlight w:val="none"/>
              </w:rPr>
              <w:t>本项目采用评定分离方式确定中标人，由招标人组建的定标委员会根据招标文件第四章“定标办法”确定中标人。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7.2</w:t>
            </w:r>
          </w:p>
        </w:tc>
        <w:tc>
          <w:tcPr>
            <w:tcW w:w="1894" w:type="dxa"/>
            <w:vAlign w:val="center"/>
          </w:tcPr>
          <w:p>
            <w:pPr>
              <w:pStyle w:val="55"/>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sz w:val="24"/>
                <w:szCs w:val="24"/>
                <w:highlight w:val="none"/>
                <w:lang w:eastAsia="zh-CN"/>
              </w:rPr>
              <w:t>中标候选人公示</w:t>
            </w:r>
          </w:p>
        </w:tc>
        <w:tc>
          <w:tcPr>
            <w:tcW w:w="7007" w:type="dxa"/>
            <w:vAlign w:val="center"/>
          </w:tcPr>
          <w:p>
            <w:pPr>
              <w:pStyle w:val="55"/>
              <w:keepNext w:val="0"/>
              <w:keepLines w:val="0"/>
              <w:pageBreakBefore w:val="0"/>
              <w:widowControl w:val="0"/>
              <w:tabs>
                <w:tab w:val="left" w:pos="2100"/>
              </w:tabs>
              <w:kinsoku/>
              <w:wordWrap/>
              <w:overflowPunct/>
              <w:topLinePunct w:val="0"/>
              <w:autoSpaceDE/>
              <w:autoSpaceDN/>
              <w:bidi w:val="0"/>
              <w:adjustRightInd/>
              <w:snapToGrid/>
              <w:spacing w:line="360" w:lineRule="auto"/>
              <w:textAlignment w:val="center"/>
              <w:rPr>
                <w:rFonts w:hint="eastAsia"/>
                <w:sz w:val="24"/>
                <w:szCs w:val="24"/>
                <w:highlight w:val="none"/>
                <w:lang w:eastAsia="zh-CN"/>
              </w:rPr>
            </w:pPr>
            <w:r>
              <w:rPr>
                <w:rFonts w:hint="eastAsia"/>
                <w:sz w:val="24"/>
                <w:szCs w:val="24"/>
                <w:highlight w:val="none"/>
                <w:lang w:eastAsia="zh-CN"/>
              </w:rPr>
              <w:t>招标人将评标委员会推荐的不标明排列顺序的中标候选人的情况在本招标项目招标公告发布的同一媒介予以公示，公示期3日。</w:t>
            </w:r>
          </w:p>
          <w:p>
            <w:pPr>
              <w:pStyle w:val="55"/>
              <w:keepNext w:val="0"/>
              <w:keepLines w:val="0"/>
              <w:pageBreakBefore w:val="0"/>
              <w:widowControl w:val="0"/>
              <w:tabs>
                <w:tab w:val="left" w:pos="2100"/>
              </w:tabs>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2"/>
                <w:sz w:val="24"/>
                <w:szCs w:val="24"/>
                <w:highlight w:val="none"/>
                <w:lang w:val="en-US" w:eastAsia="zh-CN" w:bidi="ar-SA"/>
              </w:rPr>
            </w:pPr>
            <w:r>
              <w:rPr>
                <w:rFonts w:hint="eastAsia"/>
                <w:sz w:val="24"/>
                <w:szCs w:val="24"/>
                <w:highlight w:val="none"/>
                <w:lang w:eastAsia="zh-CN"/>
              </w:rPr>
              <w:t>中标候选人公示期间，因异议或投诉导致中标候选人发生改变的，应当重新公示中标候选人。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7.3.1</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履约担保金额</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1.缴纳方式：采用现金转账或履约保函形式；</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2.履约保证金的金额：</w:t>
            </w:r>
            <w:r>
              <w:rPr>
                <w:rFonts w:hint="eastAsia" w:ascii="宋体" w:hAnsi="宋体" w:cs="宋体"/>
                <w:color w:val="auto"/>
                <w:sz w:val="24"/>
                <w:highlight w:val="none"/>
                <w:lang w:val="en-US" w:eastAsia="zh-CN"/>
              </w:rPr>
              <w:t>中标价的5%（向下取整至万位）；</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3.采用银行保函时：保函期限不得少于 650 日历天，并由中标单位的基本户所在银行开具。签定合同前招标人向中标单位出具保函的银行进行确认。若出现项目因投标人原因延期，中标人需在履约保函失效前 30 日内按招标人要求对保函进行延期或重新出具履约保函。</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4.递交时间：现金转账自中标通知书发出之日起 15 个工作日内递交至招标人指定账户，保函自中标通知书发出之日起 15 个工作日内递交至招标人指定地点。</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5.履约保证金的退还：银行保函到期归还；现金转账形式：工程全</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部主体结构验收合格后，自中标单位提交付款申请之日起 30 个工作日内无息退还 50%履约保证金。工程全部完工且通过联合验收合格后，自中标单位提交付款申请之日起 30 个工作日内扣除合理费用（若有），无息退还剩余履约保证金。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是否采用电子招标投标</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8901"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11.1</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电子招投标</w:t>
            </w:r>
          </w:p>
        </w:tc>
        <w:tc>
          <w:tcPr>
            <w:tcW w:w="7007" w:type="dxa"/>
            <w:vAlign w:val="top"/>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本次招标采用电子标</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具体要求：</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电子投标文件是指郑州航</w:t>
            </w:r>
            <w:r>
              <w:rPr>
                <w:rFonts w:hint="eastAsia" w:ascii="宋体" w:hAnsi="宋体" w:cs="宋体"/>
                <w:color w:val="auto"/>
                <w:sz w:val="24"/>
                <w:highlight w:val="none"/>
                <w:lang w:val="en-US" w:eastAsia="zh-CN"/>
              </w:rPr>
              <w:t>空港</w:t>
            </w:r>
            <w:r>
              <w:rPr>
                <w:rFonts w:hint="eastAsia" w:ascii="宋体" w:hAnsi="宋体" w:eastAsia="宋体" w:cs="宋体"/>
                <w:color w:val="auto"/>
                <w:sz w:val="24"/>
                <w:highlight w:val="none"/>
                <w:lang w:val="en-US" w:eastAsia="zh-CN"/>
              </w:rPr>
              <w:t>经济综合实验区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郑州新郑综合保税区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公共</w:t>
            </w:r>
            <w:r>
              <w:rPr>
                <w:rFonts w:hint="eastAsia" w:ascii="宋体" w:hAnsi="宋体" w:cs="宋体"/>
                <w:color w:val="auto"/>
                <w:sz w:val="24"/>
                <w:highlight w:val="none"/>
                <w:lang w:val="en-US" w:eastAsia="zh-CN"/>
              </w:rPr>
              <w:t>资源</w:t>
            </w:r>
            <w:r>
              <w:rPr>
                <w:rFonts w:hint="eastAsia" w:ascii="宋体" w:hAnsi="宋体" w:eastAsia="宋体" w:cs="宋体"/>
                <w:color w:val="auto"/>
                <w:sz w:val="24"/>
                <w:highlight w:val="none"/>
                <w:lang w:val="en-US" w:eastAsia="zh-CN"/>
              </w:rPr>
              <w:t>交易中心平台系统要求格式制作的投标文件。加密电子投标文件须在投标文件的递交截止时间前通过交易中心电子交易平台系统上传完毕。</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本项目采用</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远程不见面</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开标</w:t>
            </w:r>
            <w:r>
              <w:rPr>
                <w:rFonts w:hint="eastAsia" w:ascii="宋体" w:hAnsi="宋体" w:cs="宋体"/>
                <w:color w:val="auto"/>
                <w:sz w:val="24"/>
                <w:highlight w:val="none"/>
                <w:lang w:val="en-US" w:eastAsia="zh-CN"/>
              </w:rPr>
              <w:t>方式，</w:t>
            </w:r>
            <w:r>
              <w:rPr>
                <w:rFonts w:hint="eastAsia" w:ascii="宋体" w:hAnsi="宋体" w:eastAsia="宋体" w:cs="宋体"/>
                <w:color w:val="auto"/>
                <w:sz w:val="24"/>
                <w:highlight w:val="none"/>
                <w:lang w:val="en-US" w:eastAsia="zh-CN"/>
              </w:rPr>
              <w:t>投标人无需到郑州航空港经济综合实验区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郑州新郑综合保税区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公共</w:t>
            </w:r>
            <w:r>
              <w:rPr>
                <w:rFonts w:hint="eastAsia" w:ascii="宋体" w:hAnsi="宋体" w:cs="宋体"/>
                <w:color w:val="auto"/>
                <w:sz w:val="24"/>
                <w:highlight w:val="none"/>
                <w:lang w:val="en-US" w:eastAsia="zh-CN"/>
              </w:rPr>
              <w:t>资源</w:t>
            </w:r>
            <w:r>
              <w:rPr>
                <w:rFonts w:hint="eastAsia" w:ascii="宋体" w:hAnsi="宋体" w:eastAsia="宋体" w:cs="宋体"/>
                <w:color w:val="auto"/>
                <w:sz w:val="24"/>
                <w:highlight w:val="none"/>
                <w:lang w:val="en-US" w:eastAsia="zh-CN"/>
              </w:rPr>
              <w:t>交易中心现场参加开标会议</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无需到达现场提交原件资料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投标人应当在投标截止时间前</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登录郑州航空港经济综合实验区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郑州新郑综合保税区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公共资源交易中心不见面开标大厅</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https://www.zzhkgggzy.</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cn:18182/BidOpeningHall/bidhall/henan/login.html)</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在线准时参加开标</w:t>
            </w:r>
            <w:r>
              <w:rPr>
                <w:rFonts w:hint="eastAsia" w:ascii="宋体" w:hAnsi="宋体" w:cs="宋体"/>
                <w:color w:val="auto"/>
                <w:sz w:val="24"/>
                <w:highlight w:val="none"/>
                <w:lang w:val="en-US" w:eastAsia="zh-CN"/>
              </w:rPr>
              <w:t>活动</w:t>
            </w:r>
            <w:r>
              <w:rPr>
                <w:rFonts w:hint="eastAsia" w:ascii="宋体" w:hAnsi="宋体" w:eastAsia="宋体" w:cs="宋体"/>
                <w:color w:val="auto"/>
                <w:sz w:val="24"/>
                <w:highlight w:val="none"/>
                <w:lang w:val="en-US" w:eastAsia="zh-CN"/>
              </w:rPr>
              <w:t>并进行文件解密等工作。</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如投标人原因导致未上传电子投标文件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投标文件无法解密或者解密失败的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视为不满足招标文件要求</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其投标按无效投标处理；</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因交易中心平台在开标前具有保密性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投标人在投标截止时间前须自行查看项目进展</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变更通知</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澄清及回复</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因投标人未及时查看而造成的后果自负</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当招标文</w:t>
            </w:r>
            <w:r>
              <w:rPr>
                <w:rFonts w:hint="eastAsia" w:ascii="宋体" w:hAnsi="宋体" w:cs="宋体"/>
                <w:color w:val="auto"/>
                <w:sz w:val="24"/>
                <w:highlight w:val="none"/>
                <w:lang w:val="en-US" w:eastAsia="zh-CN"/>
              </w:rPr>
              <w:t>件，</w:t>
            </w:r>
            <w:r>
              <w:rPr>
                <w:rFonts w:hint="eastAsia" w:ascii="宋体" w:hAnsi="宋体" w:eastAsia="宋体" w:cs="宋体"/>
                <w:color w:val="auto"/>
                <w:sz w:val="24"/>
                <w:highlight w:val="none"/>
                <w:lang w:val="en-US" w:eastAsia="zh-CN"/>
              </w:rPr>
              <w:t>补充文件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答疑文件内容相互矛盾时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以最后发出的文件为准。</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投标人将评审环节需查看的企业业绩或人员证书等有关资料附在投标文件中并对提供</w:t>
            </w:r>
            <w:r>
              <w:rPr>
                <w:rFonts w:hint="eastAsia" w:ascii="宋体" w:hAnsi="宋体" w:cs="宋体"/>
                <w:color w:val="auto"/>
                <w:sz w:val="24"/>
                <w:highlight w:val="none"/>
                <w:lang w:val="en-US" w:eastAsia="zh-CN"/>
              </w:rPr>
              <w:t>资料</w:t>
            </w:r>
            <w:r>
              <w:rPr>
                <w:rFonts w:hint="eastAsia" w:ascii="宋体" w:hAnsi="宋体" w:eastAsia="宋体" w:cs="宋体"/>
                <w:color w:val="auto"/>
                <w:sz w:val="24"/>
                <w:highlight w:val="none"/>
                <w:lang w:val="en-US" w:eastAsia="zh-CN"/>
              </w:rPr>
              <w:t>的真实性负责</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不再提供原件。</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电子投标文件中的图片应合理设置图片大小</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保证投标文件总容量不至于过大</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避免影响顺利上传</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投标文件须按要求进行</w:t>
            </w:r>
            <w:r>
              <w:rPr>
                <w:rFonts w:hint="eastAsia" w:ascii="宋体" w:hAnsi="宋体" w:cs="宋体"/>
                <w:color w:val="auto"/>
                <w:sz w:val="24"/>
                <w:highlight w:val="none"/>
                <w:lang w:val="en-US" w:eastAsia="zh-CN"/>
              </w:rPr>
              <w:t>签</w:t>
            </w:r>
            <w:r>
              <w:rPr>
                <w:rFonts w:hint="eastAsia" w:ascii="宋体" w:hAnsi="宋体" w:eastAsia="宋体" w:cs="宋体"/>
                <w:color w:val="auto"/>
                <w:sz w:val="24"/>
                <w:highlight w:val="none"/>
                <w:lang w:val="en-US" w:eastAsia="zh-CN"/>
              </w:rPr>
              <w:t>章</w:t>
            </w:r>
            <w:r>
              <w:rPr>
                <w:rFonts w:hint="eastAsia" w:ascii="宋体" w:hAnsi="宋体" w:cs="宋体"/>
                <w:color w:val="auto"/>
                <w:sz w:val="24"/>
                <w:highlight w:val="none"/>
                <w:lang w:val="en-US" w:eastAsia="zh-CN"/>
              </w:rPr>
              <w:t>（签</w:t>
            </w:r>
            <w:r>
              <w:rPr>
                <w:rFonts w:hint="eastAsia" w:ascii="宋体" w:hAnsi="宋体" w:eastAsia="宋体" w:cs="宋体"/>
                <w:color w:val="auto"/>
                <w:sz w:val="24"/>
                <w:highlight w:val="none"/>
                <w:lang w:val="en-US" w:eastAsia="zh-CN"/>
              </w:rPr>
              <w:t>字或盖章</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后</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最终生成电子投标文件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由于投标人原因，未按要求制作</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上传</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加密电子投标文件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造成投标文件上传失败的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责任由投标人承担。</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投标人使用电子招投标系统时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如有相关技术问题请咨询郑州航空港公共资源交易中心电话</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0371-61318573、8619929</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新点技术服务咨询电话400-998-0000。投标人使用电子招投标系统时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如遇到工程量清单相关转换问题</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请各投标人</w:t>
            </w:r>
            <w:r>
              <w:rPr>
                <w:rFonts w:hint="eastAsia" w:ascii="宋体" w:hAnsi="宋体" w:cs="宋体"/>
                <w:color w:val="auto"/>
                <w:sz w:val="24"/>
                <w:highlight w:val="none"/>
                <w:lang w:val="en-US" w:eastAsia="zh-CN"/>
              </w:rPr>
              <w:t>登录“</w:t>
            </w:r>
            <w:r>
              <w:rPr>
                <w:rFonts w:hint="eastAsia" w:ascii="宋体" w:hAnsi="宋体" w:eastAsia="宋体" w:cs="宋体"/>
                <w:color w:val="auto"/>
                <w:sz w:val="24"/>
                <w:highlight w:val="none"/>
                <w:lang w:val="en-US" w:eastAsia="zh-CN"/>
              </w:rPr>
              <w:t>郑州航空港经济综合实验区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郑州新郑综合保税区</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公共</w:t>
            </w:r>
            <w:r>
              <w:rPr>
                <w:rFonts w:hint="eastAsia" w:ascii="宋体" w:hAnsi="宋体" w:cs="宋体"/>
                <w:color w:val="auto"/>
                <w:sz w:val="24"/>
                <w:highlight w:val="none"/>
                <w:lang w:val="en-US" w:eastAsia="zh-CN"/>
              </w:rPr>
              <w:t>资源</w:t>
            </w:r>
            <w:r>
              <w:rPr>
                <w:rFonts w:hint="eastAsia" w:ascii="宋体" w:hAnsi="宋体" w:eastAsia="宋体" w:cs="宋体"/>
                <w:color w:val="auto"/>
                <w:sz w:val="24"/>
                <w:highlight w:val="none"/>
                <w:lang w:val="en-US" w:eastAsia="zh-CN"/>
              </w:rPr>
              <w:t>交易中心</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 xml:space="preserve"> 官网</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进入公共服务－下载专区－自行下载招标投标清单转换工具及操作手册。</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开标当天使用加密生成投标文件所用的</w:t>
            </w:r>
            <w:r>
              <w:rPr>
                <w:rFonts w:hint="eastAsia" w:ascii="宋体" w:hAnsi="宋体" w:cs="宋体"/>
                <w:color w:val="auto"/>
                <w:sz w:val="24"/>
                <w:highlight w:val="none"/>
                <w:lang w:val="en-US" w:eastAsia="zh-CN"/>
              </w:rPr>
              <w:t>CA</w:t>
            </w:r>
            <w:r>
              <w:rPr>
                <w:rFonts w:hint="eastAsia" w:ascii="宋体" w:hAnsi="宋体" w:eastAsia="宋体" w:cs="宋体"/>
                <w:color w:val="auto"/>
                <w:sz w:val="24"/>
                <w:highlight w:val="none"/>
                <w:lang w:val="en-US" w:eastAsia="zh-CN"/>
              </w:rPr>
              <w:t>锁对投标文件进行解密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因投标人原因造成电子投标文件不能解密的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招标人有权退回其投标文件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造成的一切损失投标人自行承担。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11.2</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招标代理服务费</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本项目招标代理费由中标人向代理机构</w:t>
            </w:r>
            <w:r>
              <w:rPr>
                <w:rFonts w:hint="eastAsia" w:ascii="宋体" w:hAnsi="宋体" w:cs="宋体"/>
                <w:color w:val="auto"/>
                <w:sz w:val="24"/>
                <w:highlight w:val="none"/>
                <w:lang w:val="en-US" w:eastAsia="zh-CN"/>
              </w:rPr>
              <w:t>支付</w:t>
            </w:r>
            <w:r>
              <w:rPr>
                <w:rFonts w:hint="eastAsia" w:ascii="宋体" w:hAnsi="宋体" w:eastAsia="宋体" w:cs="宋体"/>
                <w:color w:val="auto"/>
                <w:sz w:val="24"/>
                <w:highlight w:val="none"/>
                <w:lang w:val="en-US" w:eastAsia="zh-CN"/>
              </w:rPr>
              <w:t>。河南省招投标协会收费指导意见豫招协[2023]00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号文件。中标人领取中标通知书前</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须一次性缴纳招标代理费</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此费用由投标人综合考虑在投标报价中</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不再单独列项。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11.3</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知识产权</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构成本招标文件各个组成部分的文件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未经招标人书面同意</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投标人不得擅自复印和用于非本招标项目所需的其他目的</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招标人全部或者部分使用未中标人投标文件中的技术成果或技术方案时</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需征得其书面同意</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11.4</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招标人声明</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1.投标人因参与投标活动而涉及的人身伤害、财产损害、侵犯他人权益、仲裁或诉讼等，应当责任自负、费用自担，并应保证招标人和招标代理机构免于承担上述责任或者其他不良影响</w:t>
            </w:r>
            <w:r>
              <w:rPr>
                <w:rFonts w:hint="eastAsia" w:ascii="宋体" w:hAnsi="宋体" w:cs="宋体"/>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2.招标人声明招标文件中附带的参考资料是以诚信的态度提供的，是招标人现有的和客观的信息。招标人不对投标人由此做出的任何理解、推论、判断、结论和决策进行负责。</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构成本招标文件的各个组成文件应互为解释，互为说明；同一组成文件不同版本之间有不一致的，以形成时间在后者为准。招标文件中与招标公告不一致的地方以招标文件为准。按本款前述规定仍不能形成结论的，由招标人负责解释</w:t>
            </w: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11.5</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特别提醒</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本项目由招标人组建的定标委员会根据招标文件第四章“定标办法”确定中标人。中标人放弃中标、因不可抗力不能履行合同、不按照招标文件要求提交履约担保，或者被查实存在影响中标结果的违法行为等情形，不符合中标条件的，招标人可以采用原定标方法，由原定标委员会根据招标文件第四章明确的定标方法在剩余中标候选人中再次确定中标人并公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vAlign w:val="center"/>
          </w:tcPr>
          <w:p>
            <w:pPr>
              <w:keepNext w:val="0"/>
              <w:keepLines w:val="0"/>
              <w:pageBreakBefore w:val="0"/>
              <w:widowControl w:val="0"/>
              <w:kinsoku/>
              <w:wordWrap/>
              <w:overflowPunct/>
              <w:topLinePunct w:val="0"/>
              <w:bidi w:val="0"/>
              <w:adjustRightInd/>
              <w:snapToGrid/>
              <w:spacing w:before="0" w:beforeLines="50"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11.6</w:t>
            </w:r>
          </w:p>
        </w:tc>
        <w:tc>
          <w:tcPr>
            <w:tcW w:w="189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促进中小企业发展</w:t>
            </w:r>
          </w:p>
        </w:tc>
        <w:tc>
          <w:tcPr>
            <w:tcW w:w="7007"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根据《政府采购促进中小企业发展管理办法》（财库〔2020〕46 号）、《郑州航空港经济综合实验区财政审计局（金融工作办公室）关于进一步规范政府采购支持中小企业政策的通知》（郑港财〔2023〕11 号）规定，本项目按照使用招标投标法的政府采购工程建设项目，采用综合评估法但未采用低价优先法计算价格分的，评标时在采用原报价进行评分的基础上增加其价格得分的 3%作为其价格分（增加后的价格得分高于满分的，按满分计算）</w:t>
            </w:r>
          </w:p>
          <w:p>
            <w:pPr>
              <w:keepNext w:val="0"/>
              <w:keepLines w:val="0"/>
              <w:pageBreakBefore w:val="0"/>
              <w:widowControl w:val="0"/>
              <w:kinsoku/>
              <w:wordWrap/>
              <w:overflowPunct/>
              <w:topLinePunct w:val="0"/>
              <w:autoSpaceDE/>
              <w:autoSpaceDN/>
              <w:bidi w:val="0"/>
              <w:adjustRightInd/>
              <w:snapToGrid/>
              <w:spacing w:before="0" w:beforeLines="50" w:after="0"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小微企业须在投标文件中附中小企业</w:t>
            </w:r>
            <w:r>
              <w:rPr>
                <w:rFonts w:hint="eastAsia" w:ascii="宋体" w:hAnsi="宋体" w:cs="宋体"/>
                <w:color w:val="auto"/>
                <w:sz w:val="24"/>
                <w:highlight w:val="none"/>
                <w:lang w:val="en-US" w:eastAsia="zh-CN"/>
              </w:rPr>
              <w:t>声明</w:t>
            </w:r>
            <w:r>
              <w:rPr>
                <w:rFonts w:hint="eastAsia" w:ascii="宋体" w:hAnsi="宋体" w:eastAsia="宋体" w:cs="宋体"/>
                <w:color w:val="auto"/>
                <w:sz w:val="24"/>
                <w:highlight w:val="none"/>
                <w:lang w:val="en-US" w:eastAsia="zh-CN"/>
              </w:rPr>
              <w:t>函</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否则不予认可</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中小企业划型标准以工信部联企业</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2011</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300号</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工业和信息化部、</w:t>
            </w:r>
            <w:r>
              <w:rPr>
                <w:rFonts w:hint="eastAsia" w:ascii="宋体" w:hAnsi="宋体" w:cs="宋体"/>
                <w:color w:val="auto"/>
                <w:sz w:val="24"/>
                <w:highlight w:val="none"/>
                <w:lang w:val="en-US" w:eastAsia="zh-CN"/>
              </w:rPr>
              <w:t>国家</w:t>
            </w:r>
            <w:r>
              <w:rPr>
                <w:rFonts w:hint="eastAsia" w:ascii="宋体" w:hAnsi="宋体" w:eastAsia="宋体" w:cs="宋体"/>
                <w:color w:val="auto"/>
                <w:sz w:val="24"/>
                <w:highlight w:val="none"/>
                <w:lang w:val="en-US" w:eastAsia="zh-CN"/>
              </w:rPr>
              <w:t>统计局</w:t>
            </w:r>
            <w:r>
              <w:rPr>
                <w:rFonts w:hint="eastAsia" w:ascii="宋体" w:hAnsi="宋体" w:cs="宋体"/>
                <w:color w:val="auto"/>
                <w:sz w:val="24"/>
                <w:highlight w:val="none"/>
                <w:lang w:val="en-US" w:eastAsia="zh-CN"/>
              </w:rPr>
              <w:t>、国家</w:t>
            </w:r>
            <w:r>
              <w:rPr>
                <w:rFonts w:hint="eastAsia" w:ascii="宋体" w:hAnsi="宋体" w:eastAsia="宋体" w:cs="宋体"/>
                <w:color w:val="auto"/>
                <w:sz w:val="24"/>
                <w:highlight w:val="none"/>
                <w:lang w:val="en-US" w:eastAsia="zh-CN"/>
              </w:rPr>
              <w:t>发展和改革委员会</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财政部关于印发中小企业划型标准规定的通知》</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国家统计局关于印发</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统计上大中小微型企业划分办法</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2017</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》的通知为依据（详见附件2:统计上大中小微型企业划分标准）</w:t>
            </w:r>
            <w:r>
              <w:rPr>
                <w:rFonts w:hint="eastAsia" w:ascii="宋体" w:hAnsi="宋体" w:cs="宋体"/>
                <w:color w:val="auto"/>
                <w:sz w:val="24"/>
                <w:highlight w:val="none"/>
                <w:lang w:val="en-US" w:eastAsia="zh-CN"/>
              </w:rPr>
              <w:t>，</w:t>
            </w:r>
            <w:r>
              <w:rPr>
                <w:rFonts w:hint="eastAsia" w:ascii="宋体" w:hAnsi="宋体" w:eastAsia="宋体" w:cs="宋体"/>
                <w:b/>
                <w:bCs/>
                <w:color w:val="auto"/>
                <w:sz w:val="24"/>
                <w:highlight w:val="none"/>
                <w:lang w:val="en-US" w:eastAsia="zh-CN"/>
              </w:rPr>
              <w:t>本次采购项目所属行业类别属于“建筑业”。</w:t>
            </w:r>
          </w:p>
        </w:tc>
      </w:tr>
    </w:tbl>
    <w:p>
      <w:pPr>
        <w:pStyle w:val="73"/>
        <w:pageBreakBefore w:val="0"/>
        <w:kinsoku/>
        <w:overflowPunct/>
        <w:bidi w:val="0"/>
        <w:spacing w:line="360" w:lineRule="auto"/>
        <w:ind w:firstLine="0" w:firstLineChars="0"/>
        <w:rPr>
          <w:rFonts w:hint="eastAsia" w:ascii="宋体" w:hAnsi="宋体" w:eastAsia="宋体" w:cs="宋体"/>
          <w:b/>
          <w:bCs/>
          <w:color w:val="auto"/>
          <w:sz w:val="24"/>
          <w:szCs w:val="24"/>
          <w:highlight w:val="none"/>
        </w:rPr>
      </w:pPr>
      <w:bookmarkStart w:id="192" w:name="_Toc190678810"/>
      <w:bookmarkStart w:id="193" w:name="_Toc266190046"/>
      <w:bookmarkStart w:id="194" w:name="_Toc191983615"/>
      <w:bookmarkStart w:id="195" w:name="_Toc7850"/>
      <w:bookmarkStart w:id="196" w:name="_Toc25070"/>
      <w:bookmarkStart w:id="197" w:name="_Toc14106"/>
      <w:bookmarkStart w:id="198" w:name="_Toc16671043"/>
      <w:bookmarkStart w:id="199" w:name="_Toc144974497"/>
      <w:bookmarkStart w:id="200" w:name="_Toc521685533"/>
      <w:bookmarkStart w:id="201" w:name="_Toc31152"/>
      <w:bookmarkStart w:id="202" w:name="_Toc152042305"/>
      <w:bookmarkStart w:id="203" w:name="_Toc27982"/>
      <w:bookmarkStart w:id="204" w:name="_Toc247527553"/>
      <w:bookmarkStart w:id="205" w:name="_Toc16670531"/>
      <w:bookmarkStart w:id="206" w:name="_Toc152045529"/>
      <w:bookmarkStart w:id="207" w:name="_Toc247513952"/>
      <w:r>
        <w:rPr>
          <w:rFonts w:hint="eastAsia" w:ascii="宋体" w:hAnsi="宋体" w:eastAsia="宋体" w:cs="宋体"/>
          <w:b/>
          <w:bCs/>
          <w:color w:val="auto"/>
          <w:sz w:val="24"/>
          <w:szCs w:val="24"/>
          <w:highlight w:val="none"/>
        </w:rPr>
        <w:t>注：本招标文件中内容与投标人须知前附表中内容不一致时以投标人须知前附表中内容为准。</w:t>
      </w:r>
    </w:p>
    <w:p>
      <w:pPr>
        <w:pageBreakBefore w:val="0"/>
        <w:kinsoku/>
        <w:overflowPunct/>
        <w:bidi w:val="0"/>
        <w:spacing w:line="360" w:lineRule="auto"/>
        <w:rPr>
          <w:rFonts w:hint="eastAsia" w:ascii="宋体" w:hAnsi="宋体" w:eastAsia="宋体" w:cs="宋体"/>
          <w:color w:val="auto"/>
          <w:sz w:val="24"/>
          <w:szCs w:val="24"/>
          <w:highlight w:val="none"/>
        </w:rPr>
      </w:pPr>
      <w:bookmarkStart w:id="208" w:name="_Toc23400"/>
      <w:bookmarkStart w:id="209" w:name="_Toc7981"/>
      <w:bookmarkStart w:id="210" w:name="_Toc32576"/>
      <w:bookmarkStart w:id="211" w:name="_Toc15706"/>
      <w:bookmarkStart w:id="212" w:name="_Toc22893"/>
    </w:p>
    <w:p>
      <w:pPr>
        <w:keepNext w:val="0"/>
        <w:keepLines w:val="0"/>
        <w:widowControl/>
        <w:suppressLineNumbers w:val="0"/>
        <w:jc w:val="center"/>
        <w:rPr>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pageBreakBefore w:val="0"/>
        <w:kinsoku/>
        <w:wordWrap/>
        <w:overflowPunct/>
        <w:topLinePunct w:val="0"/>
        <w:bidi w:val="0"/>
        <w:snapToGrid/>
        <w:spacing w:before="0" w:after="0" w:line="360" w:lineRule="auto"/>
        <w:ind w:left="0" w:leftChars="0" w:firstLine="482" w:firstLineChars="200"/>
        <w:textAlignment w:val="auto"/>
        <w:rPr>
          <w:rFonts w:hint="eastAsia" w:ascii="宋体" w:hAnsi="宋体" w:eastAsia="宋体" w:cs="宋体"/>
          <w:color w:val="auto"/>
          <w:sz w:val="24"/>
          <w:szCs w:val="24"/>
          <w:highlight w:val="none"/>
        </w:rPr>
      </w:pPr>
      <w:bookmarkStart w:id="213" w:name="_Toc20414"/>
      <w:r>
        <w:rPr>
          <w:rFonts w:hint="eastAsia" w:ascii="宋体" w:hAnsi="宋体" w:eastAsia="宋体" w:cs="宋体"/>
          <w:color w:val="auto"/>
          <w:sz w:val="24"/>
          <w:szCs w:val="24"/>
          <w:highlight w:val="none"/>
        </w:rPr>
        <w:t>1.总则</w:t>
      </w:r>
      <w:bookmarkEnd w:id="192"/>
      <w:bookmarkEnd w:id="193"/>
      <w:bookmarkEnd w:id="194"/>
      <w:bookmarkEnd w:id="195"/>
      <w:bookmarkEnd w:id="196"/>
      <w:bookmarkEnd w:id="208"/>
      <w:bookmarkEnd w:id="209"/>
      <w:bookmarkEnd w:id="210"/>
      <w:bookmarkEnd w:id="211"/>
      <w:bookmarkEnd w:id="212"/>
      <w:bookmarkEnd w:id="213"/>
    </w:p>
    <w:p>
      <w:pPr>
        <w:pageBreakBefore w:val="0"/>
        <w:tabs>
          <w:tab w:val="left" w:pos="0"/>
          <w:tab w:val="left" w:pos="312"/>
        </w:tabs>
        <w:kinsoku/>
        <w:wordWrap/>
        <w:overflowPunct/>
        <w:topLinePunct w:val="0"/>
        <w:bidi w:val="0"/>
        <w:snapToGrid/>
        <w:spacing w:line="360" w:lineRule="auto"/>
        <w:ind w:left="0" w:leftChars="0" w:firstLine="480" w:firstLineChars="200"/>
        <w:textAlignment w:val="auto"/>
        <w:outlineLvl w:val="2"/>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1.1项目概况</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1.1.1根据《中华人民共和国</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rPr>
        <w:t>投标法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中华人民共和国招标投标法实施条例》等有关法律、法规和规章的规定，本招标项目已具备招标条件，现对本项目</w:t>
      </w:r>
      <w:r>
        <w:rPr>
          <w:rFonts w:hint="eastAsia" w:ascii="宋体" w:hAnsi="宋体" w:cs="宋体"/>
          <w:color w:val="auto"/>
          <w:sz w:val="24"/>
          <w:szCs w:val="24"/>
          <w:highlight w:val="none"/>
          <w:lang w:val="en-US" w:eastAsia="zh-CN"/>
        </w:rPr>
        <w:t>施工</w:t>
      </w:r>
      <w:r>
        <w:rPr>
          <w:rFonts w:hint="eastAsia" w:ascii="宋体" w:hAnsi="宋体" w:eastAsia="宋体" w:cs="宋体"/>
          <w:color w:val="auto"/>
          <w:sz w:val="24"/>
          <w:szCs w:val="24"/>
          <w:highlight w:val="none"/>
        </w:rPr>
        <w:t>进行招标。</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1.1.2本招标项目招标人：见投标人须知前附表。</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1.1.3本次招标代理机构：见投标人须知前附表。</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1.1.4本招标项目名称：见投标人须知前附表。</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1.1.5本次招标项目地点：见投标人须知前附表。</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1.1.6本次招标项目规模：见投标人须知前附表。</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1.2资金来源和落实情况</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1.2.1本招标项目的资金来源：见投标人须知前附表。</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1.2.2本招标项目的资金落实情况：见投标人须知前附表。</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1.3招标范围、</w:t>
      </w:r>
      <w:r>
        <w:rPr>
          <w:rFonts w:hint="eastAsia" w:ascii="宋体" w:hAnsi="宋体" w:cs="宋体"/>
          <w:b/>
          <w:color w:val="auto"/>
          <w:sz w:val="24"/>
          <w:szCs w:val="24"/>
          <w:highlight w:val="none"/>
          <w:lang w:val="en-US" w:eastAsia="zh-CN"/>
        </w:rPr>
        <w:t>计划工期</w:t>
      </w:r>
      <w:r>
        <w:rPr>
          <w:rFonts w:hint="eastAsia" w:ascii="宋体" w:hAnsi="宋体" w:eastAsia="宋体" w:cs="宋体"/>
          <w:b/>
          <w:color w:val="auto"/>
          <w:sz w:val="24"/>
          <w:szCs w:val="24"/>
          <w:highlight w:val="none"/>
        </w:rPr>
        <w:t>和质量标准</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1.3.1招标范围：见投标人须知前附表</w:t>
      </w:r>
      <w:r>
        <w:rPr>
          <w:rFonts w:hint="eastAsia" w:ascii="宋体" w:hAnsi="宋体" w:eastAsia="宋体" w:cs="宋体"/>
          <w:color w:val="auto"/>
          <w:sz w:val="24"/>
          <w:szCs w:val="24"/>
          <w:highlight w:val="none"/>
          <w:lang w:eastAsia="zh-CN"/>
        </w:rPr>
        <w:t>；</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1.3.2</w:t>
      </w:r>
      <w:r>
        <w:rPr>
          <w:rFonts w:hint="eastAsia" w:ascii="宋体" w:hAnsi="宋体" w:cs="宋体"/>
          <w:color w:val="auto"/>
          <w:sz w:val="24"/>
          <w:szCs w:val="24"/>
          <w:highlight w:val="none"/>
          <w:lang w:val="en-US" w:eastAsia="zh-CN"/>
        </w:rPr>
        <w:t>计划工期</w:t>
      </w:r>
      <w:r>
        <w:rPr>
          <w:rFonts w:hint="eastAsia" w:ascii="宋体" w:hAnsi="宋体" w:eastAsia="宋体" w:cs="宋体"/>
          <w:color w:val="auto"/>
          <w:sz w:val="24"/>
          <w:szCs w:val="24"/>
          <w:highlight w:val="none"/>
        </w:rPr>
        <w:t>：见投标人须知前附表</w:t>
      </w:r>
      <w:r>
        <w:rPr>
          <w:rFonts w:hint="eastAsia" w:ascii="宋体" w:hAnsi="宋体" w:eastAsia="宋体" w:cs="宋体"/>
          <w:color w:val="auto"/>
          <w:sz w:val="24"/>
          <w:szCs w:val="24"/>
          <w:highlight w:val="none"/>
          <w:lang w:eastAsia="zh-CN"/>
        </w:rPr>
        <w:t>；</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1.3.3质量标准：见投标人须知前附表。</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1.4投标人资格要求</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1.4.1投标人应具备承担本项目的资格条件、能力、信誉。</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资质</w:t>
      </w:r>
      <w:r>
        <w:rPr>
          <w:rFonts w:hint="eastAsia" w:ascii="宋体" w:hAnsi="宋体" w:eastAsia="宋体" w:cs="宋体"/>
          <w:color w:val="auto"/>
          <w:sz w:val="24"/>
          <w:szCs w:val="24"/>
          <w:highlight w:val="none"/>
        </w:rPr>
        <w:t>要求：见投标人须知前附表；</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财务要求：见投标人须知前附表；</w:t>
      </w:r>
    </w:p>
    <w:p>
      <w:pPr>
        <w:pStyle w:val="2"/>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）信誉要求：见投标人须知前附表；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总监理工程师资格要求：见投标人须知前附表；</w:t>
      </w:r>
    </w:p>
    <w:p>
      <w:pPr>
        <w:pStyle w:val="2"/>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）其他要求：见投标人须知前附表；</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投标人须知前附表规定接受联合体投标的，除应符合本章第1.4.1项和投标人须知前附表的要求外，还应遵守以下规定：</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（1）联合体各方必须按招标文件提供的格式签订联合体协议书，明确联合体牵头人和各方的权利义务；</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（2）由同一专业的单位组成的联合体，按照资质等级较低的单位确定资质等级；</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（3）通过资格预审的联合体，其各方组成结构或职责，以及财务能力、信誉情况等资格条件不得改变；</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（4）联合体各方不得再以自己名义单独或加入其他联合体在同一标段中参加投标。</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1.4.3 投标人不得存在下列情形之一</w:t>
      </w:r>
      <w:r>
        <w:rPr>
          <w:rFonts w:hint="eastAsia" w:ascii="宋体" w:hAnsi="宋体" w:cs="宋体"/>
          <w:color w:val="auto"/>
          <w:sz w:val="24"/>
          <w:szCs w:val="24"/>
          <w:highlight w:val="none"/>
          <w:lang w:eastAsia="zh-CN"/>
        </w:rPr>
        <w:t>：</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4"/>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（1）为招标人不具有独立法人资格的附属机构（单位）；</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4"/>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（2）与招标人存在利害关系且可能影响招标公正性；</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4"/>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（3）与本招标项目的其他投标人为同一个单位负责人；</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4"/>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（4）与本招标项目的其他投标人存在控股、管理关系；</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4"/>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（5）为本招标项目的代建人；</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4"/>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（6）为本招标项目的招标代理机构；</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4"/>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（7）与本招标项目的代建人或招标代理机构同为一个法定代表人；</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4"/>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（8）与本招标项目的代建人或招标代理机构存在控股或参股关系；</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4"/>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（9）与本招标项目的施工承包人以及建筑材料、建筑构配件和设备供应商有隶属关系或者其他利害关系；</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4"/>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（10）被依法暂停或者取消在全国全域（行政处罚显示针对全国全域）或者河南全域（行政处罚显示针对河南省全域）或者郑州航空港区投标资格的；</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4"/>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（11）被责令停产停业、暂扣或者吊销许可证、暂扣或者吊销执照；</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4"/>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（12）进入清算程序，或被宣告破产，或其他丧失履约能力的情形；</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4"/>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（13）在最近三年内发生重大监理质量问题（以相关行业主管部门的行政处罚决定或司法机关出具的有关法律文书为准）；</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4"/>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（14）单位负责人为同一人或者存在控股、管理关系的不同单位，同时参加本标段投标的；</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4"/>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（15）被工商行政管理机关在全国企业信用信息公示系统中列入严重违法失信企业名单；</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4"/>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（16）在近三年内投标人或其法定代表人、拟委任的总监理工程师有行贿犯罪行为的（以书面承诺为准）；</w:t>
      </w:r>
    </w:p>
    <w:p>
      <w:pPr>
        <w:pageBreakBefore w:val="0"/>
        <w:kinsoku/>
        <w:wordWrap/>
        <w:overflowPunct/>
        <w:topLinePunct w:val="0"/>
        <w:autoSpaceDE w:val="0"/>
        <w:autoSpaceDN w:val="0"/>
        <w:bidi w:val="0"/>
        <w:snapToGrid/>
        <w:spacing w:line="360" w:lineRule="auto"/>
        <w:ind w:left="0" w:leftChars="0" w:firstLine="480" w:firstLineChars="200"/>
        <w:jc w:val="left"/>
        <w:textAlignment w:val="auto"/>
        <w:outlineLvl w:val="4"/>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（17）法律法规或投标人须知前附表规定的其他情形。</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1.5费用承担</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投标人准备和参加投标活动发生的费用自理。</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1.6保密</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参与招标投标活动的各方应对招标文件和投标文件中的商业和技术等秘密保密，违者应对由此造成的后果承担法律责任。</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1.7语言文字</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除专用术语外，与招标投标有关的语言均使用中文。必要时专用术语应附有中文注释。</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1.8计量单位</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1.9踏勘现场</w:t>
      </w:r>
    </w:p>
    <w:p>
      <w:pPr>
        <w:pageBreakBefore w:val="0"/>
        <w:tabs>
          <w:tab w:val="left" w:pos="0"/>
          <w:tab w:val="left" w:pos="170"/>
          <w:tab w:val="left" w:pos="709"/>
          <w:tab w:val="left" w:pos="851"/>
        </w:tabs>
        <w:kinsoku/>
        <w:wordWrap/>
        <w:overflowPunct/>
        <w:topLinePunct w:val="0"/>
        <w:bidi w:val="0"/>
        <w:snapToGrid/>
        <w:spacing w:line="360" w:lineRule="auto"/>
        <w:ind w:left="0" w:leftChars="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pPr>
        <w:pageBreakBefore w:val="0"/>
        <w:tabs>
          <w:tab w:val="left" w:pos="0"/>
          <w:tab w:val="left" w:pos="170"/>
          <w:tab w:val="left" w:pos="709"/>
          <w:tab w:val="left" w:pos="851"/>
        </w:tabs>
        <w:kinsoku/>
        <w:wordWrap/>
        <w:overflowPunct/>
        <w:topLinePunct w:val="0"/>
        <w:bidi w:val="0"/>
        <w:snapToGrid/>
        <w:spacing w:line="360" w:lineRule="auto"/>
        <w:ind w:left="0" w:leftChars="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投标人踏勘现场发生的费用自理。</w:t>
      </w:r>
    </w:p>
    <w:p>
      <w:pPr>
        <w:pageBreakBefore w:val="0"/>
        <w:tabs>
          <w:tab w:val="left" w:pos="0"/>
          <w:tab w:val="left" w:pos="170"/>
          <w:tab w:val="left" w:pos="709"/>
          <w:tab w:val="left" w:pos="851"/>
        </w:tabs>
        <w:kinsoku/>
        <w:wordWrap/>
        <w:overflowPunct/>
        <w:topLinePunct w:val="0"/>
        <w:bidi w:val="0"/>
        <w:snapToGrid/>
        <w:spacing w:line="360" w:lineRule="auto"/>
        <w:ind w:left="0" w:leftChars="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除招标人的原因外，投标人自行负责在踏勘现场中所发生的人员伤亡和财产损失。</w:t>
      </w:r>
    </w:p>
    <w:p>
      <w:pPr>
        <w:pageBreakBefore w:val="0"/>
        <w:tabs>
          <w:tab w:val="left" w:pos="0"/>
          <w:tab w:val="left" w:pos="170"/>
          <w:tab w:val="left" w:pos="709"/>
          <w:tab w:val="left" w:pos="851"/>
        </w:tabs>
        <w:kinsoku/>
        <w:wordWrap/>
        <w:overflowPunct/>
        <w:topLinePunct w:val="0"/>
        <w:bidi w:val="0"/>
        <w:snapToGrid/>
        <w:spacing w:line="360" w:lineRule="auto"/>
        <w:ind w:left="0" w:leftChars="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招标人在踏勘现场中介绍的工程场地和相关的周边环境情况，供投标人在编制投标文件时参考，招标人不对投标人据此作出的判断和决策负责。</w:t>
      </w:r>
    </w:p>
    <w:p>
      <w:pPr>
        <w:pageBreakBefore w:val="0"/>
        <w:tabs>
          <w:tab w:val="left" w:pos="0"/>
          <w:tab w:val="left" w:pos="170"/>
          <w:tab w:val="left" w:pos="312"/>
          <w:tab w:val="left" w:pos="567"/>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1.10投标预备会</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1.10.1投标人须知前附表规定召开投标预备会的，招标人按投标人须知前附表规定的时间和地点召开投标预备会，澄清投标人提出的问题。</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1.10.2投标人应在投标人须知前附表规定的时间前，以书面形式将提出的问题送达招标人，以便招标人在会议期间澄清。</w:t>
      </w:r>
    </w:p>
    <w:p>
      <w:pPr>
        <w:pageBreakBefore w:val="0"/>
        <w:tabs>
          <w:tab w:val="left" w:pos="0"/>
          <w:tab w:val="left" w:pos="170"/>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1.10.3投标预备会后，招标人在投标人须知前附表规定的时间内，将对投标人所提问题的澄清，以书面方式通知所有购买招标文件的投标人。该澄清内容为招标文件的组成部分。</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1.11分包</w:t>
      </w:r>
    </w:p>
    <w:p>
      <w:pPr>
        <w:pageBreakBefore w:val="0"/>
        <w:kinsoku/>
        <w:wordWrap/>
        <w:overflowPunct/>
        <w:topLinePunct w:val="0"/>
        <w:bidi w:val="0"/>
        <w:snapToGrid/>
        <w:spacing w:line="360" w:lineRule="auto"/>
        <w:ind w:left="0" w:leftChars="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1.11.1不允许分包。</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1.12偏离</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bookmarkStart w:id="214" w:name="_Toc266190047"/>
      <w:bookmarkStart w:id="215" w:name="_Toc191983616"/>
      <w:r>
        <w:rPr>
          <w:rFonts w:hint="eastAsia" w:ascii="宋体" w:hAnsi="宋体" w:eastAsia="宋体" w:cs="宋体"/>
          <w:color w:val="auto"/>
          <w:sz w:val="24"/>
          <w:szCs w:val="24"/>
          <w:highlight w:val="none"/>
        </w:rPr>
        <w:t>1.12.1</w:t>
      </w:r>
      <w:r>
        <w:rPr>
          <w:rFonts w:hint="eastAsia" w:ascii="宋体" w:hAnsi="宋体" w:eastAsia="宋体" w:cs="宋体"/>
          <w:color w:val="auto"/>
          <w:sz w:val="24"/>
          <w:highlight w:val="none"/>
          <w:lang w:val="en-US" w:eastAsia="zh-CN"/>
        </w:rPr>
        <w:t>只允许正偏离（即投标</w:t>
      </w:r>
      <w:r>
        <w:rPr>
          <w:rFonts w:hint="eastAsia" w:ascii="宋体" w:hAnsi="宋体" w:cs="宋体"/>
          <w:color w:val="auto"/>
          <w:sz w:val="24"/>
          <w:highlight w:val="none"/>
          <w:lang w:val="en-US" w:eastAsia="zh-CN"/>
        </w:rPr>
        <w:t>文</w:t>
      </w:r>
      <w:r>
        <w:rPr>
          <w:rFonts w:hint="eastAsia" w:ascii="宋体" w:hAnsi="宋体" w:eastAsia="宋体" w:cs="宋体"/>
          <w:color w:val="auto"/>
          <w:sz w:val="24"/>
          <w:highlight w:val="none"/>
          <w:lang w:val="en-US" w:eastAsia="zh-CN"/>
        </w:rPr>
        <w:t>件中的相关技术要求优于招标文件要求）</w:t>
      </w:r>
      <w:r>
        <w:rPr>
          <w:rFonts w:hint="eastAsia" w:ascii="宋体" w:hAnsi="宋体" w:cs="宋体"/>
          <w:color w:val="auto"/>
          <w:sz w:val="24"/>
          <w:highlight w:val="none"/>
          <w:lang w:val="en-US" w:eastAsia="zh-CN"/>
        </w:rPr>
        <w:t>。</w:t>
      </w:r>
    </w:p>
    <w:p>
      <w:pPr>
        <w:pStyle w:val="5"/>
        <w:pageBreakBefore w:val="0"/>
        <w:kinsoku/>
        <w:wordWrap/>
        <w:overflowPunct/>
        <w:topLinePunct w:val="0"/>
        <w:bidi w:val="0"/>
        <w:snapToGrid/>
        <w:spacing w:before="0" w:after="0" w:line="360" w:lineRule="auto"/>
        <w:textAlignment w:val="auto"/>
        <w:rPr>
          <w:rFonts w:hint="eastAsia" w:ascii="宋体" w:hAnsi="宋体" w:eastAsia="宋体" w:cs="宋体"/>
          <w:color w:val="auto"/>
          <w:sz w:val="24"/>
          <w:szCs w:val="24"/>
          <w:highlight w:val="none"/>
        </w:rPr>
      </w:pPr>
      <w:bookmarkStart w:id="216" w:name="_Toc15947"/>
      <w:bookmarkStart w:id="217" w:name="_Toc26758"/>
      <w:bookmarkStart w:id="218" w:name="_Toc3252"/>
      <w:bookmarkStart w:id="219" w:name="_Toc23678"/>
      <w:bookmarkStart w:id="220" w:name="_Toc12966"/>
      <w:bookmarkStart w:id="221" w:name="_Toc17060"/>
      <w:bookmarkStart w:id="222" w:name="_Toc17670"/>
      <w:bookmarkStart w:id="223" w:name="_Toc5158"/>
      <w:r>
        <w:rPr>
          <w:rFonts w:hint="eastAsia" w:ascii="宋体" w:hAnsi="宋体" w:eastAsia="宋体" w:cs="宋体"/>
          <w:color w:val="auto"/>
          <w:sz w:val="24"/>
          <w:szCs w:val="24"/>
          <w:highlight w:val="none"/>
        </w:rPr>
        <w:t>2.招标文件</w:t>
      </w:r>
      <w:bookmarkEnd w:id="214"/>
      <w:bookmarkEnd w:id="215"/>
      <w:bookmarkEnd w:id="216"/>
      <w:bookmarkEnd w:id="217"/>
      <w:bookmarkEnd w:id="218"/>
      <w:bookmarkEnd w:id="219"/>
      <w:bookmarkEnd w:id="220"/>
      <w:bookmarkEnd w:id="221"/>
      <w:bookmarkEnd w:id="222"/>
      <w:bookmarkEnd w:id="223"/>
    </w:p>
    <w:p>
      <w:pPr>
        <w:pageBreakBefore w:val="0"/>
        <w:tabs>
          <w:tab w:val="left" w:pos="0"/>
          <w:tab w:val="left" w:pos="312"/>
        </w:tabs>
        <w:kinsoku/>
        <w:wordWrap/>
        <w:overflowPunct/>
        <w:topLinePunct w:val="0"/>
        <w:bidi w:val="0"/>
        <w:snapToGrid/>
        <w:spacing w:line="360" w:lineRule="auto"/>
        <w:ind w:left="0" w:leftChars="0" w:firstLine="480" w:firstLineChars="200"/>
        <w:textAlignment w:val="auto"/>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2.1招标文件的组成</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本招标文件包括：</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（4）定标办法；</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）合同条款及格式；</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服务要求及标准；</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）投标文件格式；</w:t>
      </w:r>
    </w:p>
    <w:p>
      <w:pPr>
        <w:pageBreakBefore w:val="0"/>
        <w:kinsoku/>
        <w:wordWrap/>
        <w:overflowPunct/>
        <w:topLinePunct w:val="0"/>
        <w:bidi w:val="0"/>
        <w:snapToGrid/>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（8）投标人须知前附表规定的其他材料；</w:t>
      </w:r>
    </w:p>
    <w:p>
      <w:pPr>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w:t>
      </w:r>
      <w:r>
        <w:rPr>
          <w:rFonts w:hint="eastAsia" w:ascii="宋体" w:hAnsi="宋体" w:cs="宋体"/>
          <w:color w:val="auto"/>
          <w:sz w:val="24"/>
          <w:szCs w:val="24"/>
          <w:highlight w:val="none"/>
          <w:lang w:val="en-US" w:eastAsia="zh-CN"/>
        </w:rPr>
        <w:t>1.10</w:t>
      </w:r>
      <w:r>
        <w:rPr>
          <w:rFonts w:hint="eastAsia" w:ascii="宋体" w:hAnsi="宋体" w:eastAsia="宋体" w:cs="宋体"/>
          <w:color w:val="auto"/>
          <w:sz w:val="24"/>
          <w:szCs w:val="24"/>
          <w:highlight w:val="none"/>
        </w:rPr>
        <w:t>款、第</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款</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rPr>
        <w:t>第</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款对招标文件所作的澄清、修改，构成招标文件的组成部分。</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2.2招标文件的澄清</w:t>
      </w:r>
    </w:p>
    <w:p>
      <w:pPr>
        <w:pageBreakBefore w:val="0"/>
        <w:tabs>
          <w:tab w:val="left" w:pos="0"/>
          <w:tab w:val="left" w:pos="31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bookmarkStart w:id="224" w:name="_Toc20695"/>
      <w:bookmarkStart w:id="225" w:name="_Toc256519652"/>
      <w:bookmarkStart w:id="226" w:name="_Toc462316744"/>
      <w:bookmarkStart w:id="227" w:name="_Toc266190048"/>
      <w:bookmarkStart w:id="228" w:name="_Toc191983617"/>
      <w:r>
        <w:rPr>
          <w:rFonts w:hint="eastAsia" w:ascii="宋体" w:hAnsi="宋体" w:eastAsia="宋体" w:cs="宋体"/>
          <w:bCs/>
          <w:color w:val="auto"/>
          <w:sz w:val="24"/>
          <w:szCs w:val="24"/>
          <w:highlight w:val="none"/>
        </w:rPr>
        <w:t>2.2.1 投标人应仔细阅读和检查招标文件的全部内容。如发现缺页或附件不全，应及时向招标人提出，以便补齐。如有疑问，应按投标人须知前附表规定的时间</w:t>
      </w:r>
      <w:r>
        <w:rPr>
          <w:rFonts w:hint="eastAsia" w:ascii="宋体" w:hAnsi="宋体" w:cs="宋体"/>
          <w:bCs/>
          <w:color w:val="auto"/>
          <w:sz w:val="24"/>
          <w:szCs w:val="24"/>
          <w:highlight w:val="none"/>
          <w:lang w:val="en-US" w:eastAsia="zh-CN"/>
        </w:rPr>
        <w:t>前以书面形式（包括信函、电报、传真等可以有形地表现所载内容的形式，下同）</w:t>
      </w:r>
      <w:r>
        <w:rPr>
          <w:rFonts w:hint="eastAsia" w:ascii="宋体" w:hAnsi="宋体" w:eastAsia="宋体" w:cs="宋体"/>
          <w:bCs/>
          <w:color w:val="auto"/>
          <w:sz w:val="24"/>
          <w:szCs w:val="24"/>
          <w:highlight w:val="none"/>
        </w:rPr>
        <w:t>送达招标人，要求招标人对招标文件予以澄清。</w:t>
      </w:r>
    </w:p>
    <w:p>
      <w:pPr>
        <w:pageBreakBefore w:val="0"/>
        <w:tabs>
          <w:tab w:val="left" w:pos="0"/>
          <w:tab w:val="left" w:pos="31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2.2.2 招标文件的澄清将在公共资源交易系统电子平台上发布，但不指明澄清问题的来源。澄清发出的时间距投标人须知前附表规定的投标截止时间不足 15 日的，并且澄清的内容可能影响投标文件编制的，将相应延长投标截止时间。</w:t>
      </w:r>
    </w:p>
    <w:p>
      <w:pPr>
        <w:pageBreakBefore w:val="0"/>
        <w:tabs>
          <w:tab w:val="left" w:pos="0"/>
          <w:tab w:val="left" w:pos="312"/>
        </w:tabs>
        <w:kinsoku/>
        <w:wordWrap/>
        <w:overflowPunct/>
        <w:topLinePunct w:val="0"/>
        <w:bidi w:val="0"/>
        <w:snapToGrid/>
        <w:spacing w:line="360" w:lineRule="auto"/>
        <w:ind w:left="0" w:leftChars="0"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2.2.3 投标人在收到澄清后，应在投标人须知前附表规定的时间内以书面形式通知招标人，确认已收到该澄清。</w:t>
      </w:r>
    </w:p>
    <w:p>
      <w:pPr>
        <w:pageBreakBefore w:val="0"/>
        <w:tabs>
          <w:tab w:val="left" w:pos="0"/>
          <w:tab w:val="left" w:pos="312"/>
        </w:tabs>
        <w:kinsoku/>
        <w:wordWrap/>
        <w:overflowPunct/>
        <w:topLinePunct w:val="0"/>
        <w:bidi w:val="0"/>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除非招标人认为确有必要答复，否则，招标人有权拒绝回复投标人在本章第</w:t>
      </w:r>
      <w:r>
        <w:rPr>
          <w:rFonts w:hint="eastAsia" w:ascii="宋体" w:hAnsi="宋体" w:cs="宋体"/>
          <w:bCs/>
          <w:color w:val="auto"/>
          <w:sz w:val="24"/>
          <w:szCs w:val="24"/>
          <w:highlight w:val="none"/>
          <w:lang w:val="en-US" w:eastAsia="zh-CN"/>
        </w:rPr>
        <w:t>2.2.1</w:t>
      </w:r>
      <w:r>
        <w:rPr>
          <w:rFonts w:hint="eastAsia" w:ascii="宋体" w:hAnsi="宋体" w:eastAsia="宋体" w:cs="宋体"/>
          <w:bCs/>
          <w:color w:val="auto"/>
          <w:sz w:val="24"/>
          <w:szCs w:val="24"/>
          <w:highlight w:val="none"/>
        </w:rPr>
        <w:t>项规定的时间后的任何澄清要求。</w:t>
      </w:r>
      <w:bookmarkEnd w:id="224"/>
      <w:bookmarkEnd w:id="225"/>
      <w:bookmarkEnd w:id="226"/>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2.3招标文件的修改</w:t>
      </w:r>
    </w:p>
    <w:p>
      <w:pPr>
        <w:pageBreakBefore w:val="0"/>
        <w:tabs>
          <w:tab w:val="left" w:pos="0"/>
          <w:tab w:val="left" w:pos="312"/>
        </w:tabs>
        <w:kinsoku/>
        <w:wordWrap/>
        <w:overflowPunct/>
        <w:topLinePunct w:val="0"/>
        <w:bidi w:val="0"/>
        <w:snapToGrid/>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2.3.1 在投标截止时间15天前，招标人可以通过公共资源交易系统电子平台修改招标文件。招标文件修改的时间距投标人须知前附表规定的投标截止时间不足15日的，并且修改的内容可能影响投标文件编制的，将相应延长投标截止时间。</w:t>
      </w:r>
    </w:p>
    <w:p>
      <w:pPr>
        <w:pStyle w:val="63"/>
        <w:pageBreakBefore w:val="0"/>
        <w:numPr>
          <w:ilvl w:val="0"/>
          <w:numId w:val="0"/>
        </w:numPr>
        <w:kinsoku/>
        <w:wordWrap/>
        <w:overflowPunct/>
        <w:topLinePunct w:val="0"/>
        <w:bidi w:val="0"/>
        <w:snapToGrid/>
        <w:spacing w:line="360" w:lineRule="auto"/>
        <w:ind w:left="0" w:leftChars="0" w:firstLine="480" w:firstLineChars="200"/>
        <w:contextualSpacing/>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2.3.2 投标人在收到修改内容后，</w:t>
      </w:r>
      <w:r>
        <w:rPr>
          <w:rFonts w:hint="eastAsia" w:ascii="宋体" w:hAnsi="宋体" w:cs="宋体"/>
          <w:bCs/>
          <w:color w:val="auto"/>
          <w:sz w:val="24"/>
          <w:szCs w:val="24"/>
          <w:highlight w:val="none"/>
          <w:lang w:val="en-US" w:eastAsia="zh-CN"/>
        </w:rPr>
        <w:t>应在投标人须知前附表规定的时间内以书面形式通知招标人，确认已收到该修改。</w:t>
      </w:r>
    </w:p>
    <w:p>
      <w:pPr>
        <w:pStyle w:val="63"/>
        <w:pageBreakBefore w:val="0"/>
        <w:numPr>
          <w:ilvl w:val="0"/>
          <w:numId w:val="0"/>
        </w:numPr>
        <w:kinsoku/>
        <w:wordWrap/>
        <w:overflowPunct/>
        <w:topLinePunct w:val="0"/>
        <w:bidi w:val="0"/>
        <w:snapToGrid/>
        <w:spacing w:line="360" w:lineRule="auto"/>
        <w:ind w:left="0" w:leftChars="0" w:firstLine="480" w:firstLineChars="200"/>
        <w:contextualSpacing/>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2.3.</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修改内容是招标文件的组成部分，修改内容一经在项目公告网站和电子交易平台发布，视作已送达所有投标人</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并对投标人具有约束力。</w:t>
      </w:r>
    </w:p>
    <w:p>
      <w:pPr>
        <w:pageBreakBefore w:val="0"/>
        <w:tabs>
          <w:tab w:val="left" w:pos="0"/>
          <w:tab w:val="left" w:pos="312"/>
        </w:tabs>
        <w:kinsoku/>
        <w:wordWrap/>
        <w:overflowPunct/>
        <w:topLinePunct w:val="0"/>
        <w:bidi w:val="0"/>
        <w:snapToGrid/>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2.4招标文件的异议</w:t>
      </w:r>
    </w:p>
    <w:p>
      <w:pPr>
        <w:pStyle w:val="63"/>
        <w:pageBreakBefore w:val="0"/>
        <w:numPr>
          <w:ilvl w:val="0"/>
          <w:numId w:val="0"/>
        </w:numPr>
        <w:kinsoku/>
        <w:wordWrap/>
        <w:overflowPunct/>
        <w:topLinePunct w:val="0"/>
        <w:bidi w:val="0"/>
        <w:snapToGrid/>
        <w:spacing w:line="360" w:lineRule="auto"/>
        <w:ind w:left="0" w:leftChars="0" w:firstLine="480" w:firstLineChars="200"/>
        <w:contextualSpacing/>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投标人或者其他利害关系人对招标文件有异议的，应当在投标截止时间 10 日前以书面形式提出。招标人将在收到异议之日起 3 日内作出答复；作出答复前，将暂停招标投标活动。</w:t>
      </w:r>
    </w:p>
    <w:p>
      <w:pPr>
        <w:pStyle w:val="5"/>
        <w:pageBreakBefore w:val="0"/>
        <w:kinsoku/>
        <w:wordWrap/>
        <w:overflowPunct/>
        <w:topLinePunct w:val="0"/>
        <w:bidi w:val="0"/>
        <w:snapToGrid/>
        <w:spacing w:before="0" w:after="0" w:line="360" w:lineRule="auto"/>
        <w:textAlignment w:val="auto"/>
        <w:rPr>
          <w:rFonts w:hint="eastAsia" w:ascii="宋体" w:hAnsi="宋体" w:eastAsia="宋体" w:cs="宋体"/>
          <w:color w:val="auto"/>
          <w:sz w:val="24"/>
          <w:szCs w:val="24"/>
          <w:highlight w:val="none"/>
        </w:rPr>
      </w:pPr>
      <w:bookmarkStart w:id="229" w:name="_Toc4620"/>
      <w:bookmarkStart w:id="230" w:name="_Toc5152"/>
      <w:bookmarkStart w:id="231" w:name="_Toc12355"/>
      <w:bookmarkStart w:id="232" w:name="_Toc15394"/>
      <w:bookmarkStart w:id="233" w:name="_Toc9169"/>
      <w:bookmarkStart w:id="234" w:name="_Toc11978"/>
      <w:bookmarkStart w:id="235" w:name="_Toc23274"/>
      <w:bookmarkStart w:id="236" w:name="_Toc19935"/>
      <w:r>
        <w:rPr>
          <w:rFonts w:hint="eastAsia" w:ascii="宋体" w:hAnsi="宋体" w:eastAsia="宋体" w:cs="宋体"/>
          <w:color w:val="auto"/>
          <w:sz w:val="24"/>
          <w:szCs w:val="24"/>
          <w:highlight w:val="none"/>
        </w:rPr>
        <w:t>3.投标文件</w:t>
      </w:r>
      <w:bookmarkEnd w:id="227"/>
      <w:bookmarkEnd w:id="228"/>
      <w:bookmarkEnd w:id="229"/>
      <w:bookmarkEnd w:id="230"/>
      <w:bookmarkEnd w:id="231"/>
      <w:bookmarkEnd w:id="232"/>
      <w:bookmarkEnd w:id="233"/>
      <w:bookmarkEnd w:id="234"/>
      <w:bookmarkEnd w:id="235"/>
      <w:bookmarkEnd w:id="236"/>
    </w:p>
    <w:p>
      <w:pPr>
        <w:pageBreakBefore w:val="0"/>
        <w:tabs>
          <w:tab w:val="left" w:pos="0"/>
          <w:tab w:val="left" w:pos="312"/>
        </w:tabs>
        <w:kinsoku/>
        <w:wordWrap/>
        <w:overflowPunct/>
        <w:topLinePunct w:val="0"/>
        <w:bidi w:val="0"/>
        <w:snapToGrid/>
        <w:spacing w:line="360" w:lineRule="auto"/>
        <w:ind w:left="0" w:leftChars="0" w:firstLine="720" w:firstLineChars="300"/>
        <w:textAlignment w:val="auto"/>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3.1.1投标文件的组成</w:t>
      </w:r>
    </w:p>
    <w:p>
      <w:pPr>
        <w:pStyle w:val="14"/>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投标文件应包括下列内容：</w:t>
      </w:r>
    </w:p>
    <w:p>
      <w:pPr>
        <w:pStyle w:val="14"/>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pPr>
        <w:pStyle w:val="14"/>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（2）法定代表人身份证明书；</w:t>
      </w:r>
    </w:p>
    <w:p>
      <w:pPr>
        <w:pStyle w:val="14"/>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（3）法定代表人授权委托书；</w:t>
      </w:r>
    </w:p>
    <w:p>
      <w:pPr>
        <w:pStyle w:val="14"/>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（4）投标保证金交付证明；     </w:t>
      </w:r>
    </w:p>
    <w:p>
      <w:pPr>
        <w:pStyle w:val="14"/>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监理大纲</w:t>
      </w:r>
      <w:r>
        <w:rPr>
          <w:rFonts w:hint="eastAsia" w:ascii="宋体" w:hAnsi="宋体" w:eastAsia="宋体" w:cs="宋体"/>
          <w:color w:val="auto"/>
          <w:sz w:val="24"/>
          <w:szCs w:val="24"/>
          <w:highlight w:val="none"/>
        </w:rPr>
        <w:t>；</w:t>
      </w:r>
    </w:p>
    <w:p>
      <w:pPr>
        <w:pStyle w:val="14"/>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服务承诺及合理化建议</w:t>
      </w:r>
      <w:r>
        <w:rPr>
          <w:rFonts w:hint="eastAsia" w:ascii="宋体" w:hAnsi="宋体" w:eastAsia="宋体" w:cs="宋体"/>
          <w:color w:val="auto"/>
          <w:sz w:val="24"/>
          <w:szCs w:val="24"/>
          <w:highlight w:val="none"/>
        </w:rPr>
        <w:t>；</w:t>
      </w:r>
    </w:p>
    <w:p>
      <w:pPr>
        <w:pStyle w:val="14"/>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资格审查资料</w:t>
      </w:r>
      <w:r>
        <w:rPr>
          <w:rFonts w:hint="eastAsia" w:ascii="宋体" w:hAnsi="宋体" w:eastAsia="宋体" w:cs="宋体"/>
          <w:color w:val="auto"/>
          <w:sz w:val="24"/>
          <w:szCs w:val="24"/>
          <w:highlight w:val="none"/>
        </w:rPr>
        <w:t>；</w:t>
      </w:r>
    </w:p>
    <w:p>
      <w:pPr>
        <w:pStyle w:val="14"/>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投标人须知前附表规定的其他材料</w:t>
      </w:r>
      <w:r>
        <w:rPr>
          <w:rFonts w:hint="eastAsia" w:ascii="宋体" w:hAnsi="宋体" w:eastAsia="宋体" w:cs="宋体"/>
          <w:color w:val="auto"/>
          <w:sz w:val="24"/>
          <w:szCs w:val="24"/>
          <w:highlight w:val="none"/>
        </w:rPr>
        <w:t>；</w:t>
      </w:r>
    </w:p>
    <w:p>
      <w:pPr>
        <w:pStyle w:val="14"/>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3.1.2构成投标文件的其他材料：投标人认为需要提交的其他证明材料。</w:t>
      </w:r>
    </w:p>
    <w:p>
      <w:pPr>
        <w:pStyle w:val="2"/>
        <w:pageBreakBefore w:val="0"/>
        <w:kinsoku/>
        <w:overflowPunct/>
        <w:topLinePunct w:val="0"/>
        <w:bidi w:val="0"/>
        <w:spacing w:line="360" w:lineRule="auto"/>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3.2投标报价</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投标报价应包括国家规定的增值税税金，除投标人须知前附表另有规定外，增值税税金一般计税办法计算。投标人应按第</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章“投标文件格式”的要求在投标函中进行报价。</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投标人应充分了解该项目的总体情况以及影响投标报价的其他因素。</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本项目的报价方式见投标人须知前附表。投标人投标截止时间前修改投标函中的投标报价总额。此处修改须符合本章4.3款的有关要求。</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招标人设有最高投标限价的，投标人的投标报价不得超过最高投标限价，最高投标限价在投标人须知前附表中载明。</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 投标报价的其他要求见投标人须知前附表。</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3.2.6 投标报价还应满足下列要求：</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（1）投标报价应依据国家最新规定、招标文件、招标文件澄清（答疑）纪要、招标文件修改补充通知等，结合本项目具体特点和技术要求、自身综合实力、市场行情等自主报价。</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投标报价，为监理服务期内所提供的全部服务所需要的费用。已综合包括了实施完成本项目全部监理工作所需的生活设施、劳务费、技术服务费、测量、交通、通讯、保险、税费和利润以及为完成本工程所提供的专用仪器、设备和设施等与监理业务有关的所有一切费用。</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（3）投标人在报价时应考虑监理期间的物价上涨、政策性调整等风险因素。合同履行过程中的合同单价不予调整。</w:t>
      </w:r>
    </w:p>
    <w:p>
      <w:pPr>
        <w:pageBreakBefore w:val="0"/>
        <w:kinsoku/>
        <w:overflowPunct/>
        <w:bidi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（4）投标人只能提出一个不变的投标报价，招标人不接受任何选择报价。</w:t>
      </w:r>
    </w:p>
    <w:p>
      <w:pPr>
        <w:pageBreakBefore w:val="0"/>
        <w:tabs>
          <w:tab w:val="left" w:pos="0"/>
          <w:tab w:val="left" w:pos="312"/>
        </w:tabs>
        <w:kinsoku/>
        <w:overflowPunct/>
        <w:topLinePunct w:val="0"/>
        <w:bidi w:val="0"/>
        <w:spacing w:line="360" w:lineRule="auto"/>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3.3投标有效期</w:t>
      </w:r>
    </w:p>
    <w:p>
      <w:pPr>
        <w:pageBreakBefore w:val="0"/>
        <w:tabs>
          <w:tab w:val="left" w:pos="0"/>
          <w:tab w:val="left" w:pos="170"/>
        </w:tabs>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3.3.1 </w:t>
      </w:r>
      <w:r>
        <w:rPr>
          <w:rFonts w:hint="eastAsia" w:ascii="宋体" w:hAnsi="宋体" w:cs="宋体"/>
          <w:color w:val="auto"/>
          <w:sz w:val="24"/>
          <w:szCs w:val="24"/>
          <w:highlight w:val="none"/>
          <w:lang w:val="en-US" w:eastAsia="zh-CN"/>
        </w:rPr>
        <w:t>在投标人须知前附表规定的投标有效期内，投标人不得要求撤销或修改其投标文件。</w:t>
      </w:r>
    </w:p>
    <w:p>
      <w:pPr>
        <w:pageBreakBefore w:val="0"/>
        <w:tabs>
          <w:tab w:val="left" w:pos="0"/>
          <w:tab w:val="left" w:pos="170"/>
        </w:tabs>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ageBreakBefore w:val="0"/>
        <w:tabs>
          <w:tab w:val="left" w:pos="0"/>
          <w:tab w:val="left" w:pos="312"/>
        </w:tabs>
        <w:kinsoku/>
        <w:overflowPunct/>
        <w:topLinePunct w:val="0"/>
        <w:bidi w:val="0"/>
        <w:spacing w:line="360" w:lineRule="auto"/>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3.4投标保证金</w:t>
      </w:r>
    </w:p>
    <w:p>
      <w:pPr>
        <w:pStyle w:val="2"/>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投标人在递交投标文件的同时，应按投标人须知前附表规定的金额、形式和第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章“投标文件格式”规定的投标保证金格式递交投标保证金，并作为其投标文件的组成部分。投标人以现金或者支票形式提交的投标保证金，应当从其基本账户转出并在投标文件中附上基本账户开户证明。</w:t>
      </w:r>
    </w:p>
    <w:p>
      <w:pPr>
        <w:pStyle w:val="2"/>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投标人不按本章第</w:t>
      </w:r>
      <w:r>
        <w:rPr>
          <w:rFonts w:hint="eastAsia" w:ascii="宋体" w:hAnsi="宋体" w:cs="宋体"/>
          <w:color w:val="auto"/>
          <w:sz w:val="24"/>
          <w:szCs w:val="24"/>
          <w:highlight w:val="none"/>
          <w:lang w:val="en-US" w:eastAsia="zh-CN"/>
        </w:rPr>
        <w:t>3.4.1</w:t>
      </w:r>
      <w:r>
        <w:rPr>
          <w:rFonts w:hint="eastAsia" w:ascii="宋体" w:hAnsi="宋体" w:eastAsia="宋体" w:cs="宋体"/>
          <w:color w:val="auto"/>
          <w:sz w:val="24"/>
          <w:szCs w:val="24"/>
          <w:highlight w:val="none"/>
        </w:rPr>
        <w:t>项要求提交投标保证金的，评标委员会将否决其投标。</w:t>
      </w:r>
    </w:p>
    <w:p>
      <w:pPr>
        <w:pStyle w:val="2"/>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3.4.3投标保证金的退还：</w:t>
      </w:r>
    </w:p>
    <w:p>
      <w:pPr>
        <w:pStyle w:val="2"/>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（1）未中标人投标保证金退还：中标结果公示结束后1个工作日内，交易平台按原路径自动退还未中标人的投标保证金及银行同期存款利息。</w:t>
      </w:r>
    </w:p>
    <w:p>
      <w:pPr>
        <w:pStyle w:val="2"/>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（2）中标人投标保证金退还：中标结果公示发布之日起第35日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如当天为节假日，则顺延至工作日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交易平台按原路径自动退还中标人的投标保证金及银行同期存款利息。</w:t>
      </w:r>
    </w:p>
    <w:p>
      <w:pPr>
        <w:pStyle w:val="2"/>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（3）退还程序详见“郑州航空港经济综合实验区公共资源交易中心网站-公共服务-办事指南-郑州航空港经济综合实验区公共资源交易中心建设工程项目投标保证金退还流程”。</w:t>
      </w:r>
    </w:p>
    <w:p>
      <w:pPr>
        <w:pStyle w:val="2"/>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 有下列情形之一的，投标保证金将不予退还：</w:t>
      </w:r>
    </w:p>
    <w:p>
      <w:pPr>
        <w:pStyle w:val="2"/>
        <w:pageBreakBefore w:val="0"/>
        <w:kinsoku/>
        <w:overflowPunct/>
        <w:topLinePunct w:val="0"/>
        <w:bidi w:val="0"/>
        <w:spacing w:line="360" w:lineRule="auto"/>
        <w:ind w:left="0" w:leftChars="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（1）投标人在投标有效期内撤销投标文件；</w:t>
      </w:r>
    </w:p>
    <w:p>
      <w:pPr>
        <w:pStyle w:val="2"/>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（2）中标人在收到中标通知书后，无正当理由不与招标人订立合同，在签订合同时向招标人提出附加条件，或者不按照招标文件要求提交履约保证金；</w:t>
      </w:r>
    </w:p>
    <w:p>
      <w:pPr>
        <w:pStyle w:val="2"/>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（3）发生投标人须知前附表规定的其他可以不予退还投标保证金的情形。</w:t>
      </w:r>
    </w:p>
    <w:p>
      <w:pPr>
        <w:pageBreakBefore w:val="0"/>
        <w:tabs>
          <w:tab w:val="left" w:pos="0"/>
          <w:tab w:val="left" w:pos="312"/>
        </w:tabs>
        <w:kinsoku/>
        <w:overflowPunct/>
        <w:topLinePunct w:val="0"/>
        <w:bidi w:val="0"/>
        <w:spacing w:line="360" w:lineRule="auto"/>
        <w:textAlignment w:val="auto"/>
        <w:outlineLvl w:val="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3.5投标人提供资格审查的资料</w:t>
      </w:r>
    </w:p>
    <w:p>
      <w:pPr>
        <w:pageBreakBefore w:val="0"/>
        <w:kinsoku/>
        <w:overflowPunct/>
        <w:topLinePunct w:val="0"/>
        <w:bidi w:val="0"/>
        <w:spacing w:line="360" w:lineRule="auto"/>
        <w:ind w:left="0" w:leftChars="0" w:firstLine="480" w:firstLineChars="200"/>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3.5.1“投标人基本情况表”应附投标人营业执照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按照“三证合一”或“五证合一”登记制度进行登记的，可仅提供营业执照复印件）、投标人监理资质证书等材料。</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3.5.2“近年财务状况的年份要求”，应附经会计师事务所或审计机构审计的财务会计报表，包括资产负债表、现金流量表、利润表和财务情况说明书的复印件，具体年份要求见投标人须知前附表。</w:t>
      </w:r>
    </w:p>
    <w:p>
      <w:pPr>
        <w:pageBreakBefore w:val="0"/>
        <w:kinsoku/>
        <w:overflowPunct/>
        <w:topLinePunct w:val="0"/>
        <w:bidi w:val="0"/>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3.5.3“近年完成的类似监理项目情况表”</w:t>
      </w:r>
      <w:r>
        <w:rPr>
          <w:rFonts w:hint="eastAsia" w:ascii="宋体" w:hAnsi="宋体" w:cs="宋体"/>
          <w:color w:val="auto"/>
          <w:sz w:val="24"/>
          <w:szCs w:val="24"/>
          <w:highlight w:val="none"/>
          <w:lang w:val="en-US" w:eastAsia="zh-CN"/>
        </w:rPr>
        <w:t>应附合同协议书等资料</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每张表格只填写一个项目，并标明序号。</w:t>
      </w:r>
    </w:p>
    <w:p>
      <w:pPr>
        <w:pageBreakBefore w:val="0"/>
        <w:kinsoku/>
        <w:overflowPunct/>
        <w:topLinePunct w:val="0"/>
        <w:bidi w:val="0"/>
        <w:spacing w:line="360" w:lineRule="auto"/>
        <w:ind w:left="0" w:leftChars="0"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正在监理和新承接的项目情况表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应附中标通知书或合同协议书</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每张表格只填写一个项目，并标明序号。</w:t>
      </w:r>
    </w:p>
    <w:p>
      <w:pPr>
        <w:pageBreakBefore w:val="0"/>
        <w:kinsoku/>
        <w:overflowPunct/>
        <w:topLinePunct w:val="0"/>
        <w:bidi w:val="0"/>
        <w:spacing w:line="360" w:lineRule="auto"/>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3.5.4“近年发生的诉讼及仲裁情况”</w:t>
      </w:r>
      <w:r>
        <w:rPr>
          <w:rFonts w:hint="eastAsia" w:ascii="宋体" w:hAnsi="宋体" w:cs="宋体"/>
          <w:color w:val="auto"/>
          <w:sz w:val="24"/>
          <w:szCs w:val="24"/>
          <w:highlight w:val="none"/>
          <w:lang w:val="en-US" w:eastAsia="zh-CN"/>
        </w:rPr>
        <w:t>应说明相关情况，并附法院或仲裁机构做出的判决、裁决等有关的法律文书复印件，具体年份要求见投标人须知前附表</w:t>
      </w:r>
      <w:r>
        <w:rPr>
          <w:rFonts w:hint="eastAsia" w:ascii="宋体" w:hAnsi="宋体" w:eastAsia="宋体" w:cs="宋体"/>
          <w:color w:val="auto"/>
          <w:sz w:val="24"/>
          <w:szCs w:val="24"/>
          <w:highlight w:val="none"/>
        </w:rPr>
        <w:t>。</w:t>
      </w:r>
    </w:p>
    <w:p>
      <w:pPr>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其他详见投标人须知前附表1.4.1项规定的内容。</w:t>
      </w:r>
    </w:p>
    <w:p>
      <w:pPr>
        <w:pageBreakBefore w:val="0"/>
        <w:tabs>
          <w:tab w:val="left" w:pos="0"/>
          <w:tab w:val="left" w:pos="312"/>
        </w:tabs>
        <w:kinsoku/>
        <w:overflowPunct/>
        <w:topLinePunct w:val="0"/>
        <w:bidi w:val="0"/>
        <w:spacing w:line="360" w:lineRule="auto"/>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3.6备选投标方案</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除投标人须知前附表另有规定外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投标人不得递交备选投标</w:t>
      </w:r>
      <w:r>
        <w:rPr>
          <w:rFonts w:hint="eastAsia" w:ascii="宋体" w:hAnsi="宋体" w:cs="宋体"/>
          <w:color w:val="auto"/>
          <w:sz w:val="24"/>
          <w:szCs w:val="24"/>
          <w:highlight w:val="none"/>
          <w:lang w:val="en-US" w:eastAsia="zh-CN"/>
        </w:rPr>
        <w:t>方案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允许投标人递交备选投标</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只有中标人所递交的备选投标方案方可予以考虑。评标委员会认为中标人的备选投标方案优于其按照招标文件要求编制的投标方案的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招标人可以接受该备选投标方案。</w:t>
      </w:r>
    </w:p>
    <w:p>
      <w:pPr>
        <w:pageBreakBefore w:val="0"/>
        <w:tabs>
          <w:tab w:val="left" w:pos="0"/>
          <w:tab w:val="left" w:pos="312"/>
        </w:tabs>
        <w:kinsoku/>
        <w:overflowPunct/>
        <w:topLinePunct w:val="0"/>
        <w:bidi w:val="0"/>
        <w:spacing w:line="360" w:lineRule="auto"/>
        <w:textAlignment w:val="auto"/>
        <w:outlineLvl w:val="3"/>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3.7投标文件的编制</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lang w:val="en-US" w:eastAsia="zh-CN"/>
        </w:rPr>
      </w:pPr>
      <w:bookmarkStart w:id="237" w:name="_Toc18574"/>
      <w:bookmarkStart w:id="238" w:name="_Toc26616"/>
      <w:bookmarkStart w:id="239" w:name="_Toc13810"/>
      <w:bookmarkStart w:id="240" w:name="_Toc266190049"/>
      <w:bookmarkStart w:id="241" w:name="_Toc21838"/>
      <w:bookmarkStart w:id="242" w:name="_Toc30851"/>
      <w:bookmarkStart w:id="243" w:name="_Toc191983618"/>
      <w:r>
        <w:rPr>
          <w:rFonts w:hint="eastAsia" w:ascii="宋体" w:hAnsi="宋体" w:eastAsia="宋体" w:cs="宋体"/>
          <w:color w:val="auto"/>
          <w:sz w:val="24"/>
          <w:szCs w:val="24"/>
          <w:highlight w:val="none"/>
        </w:rPr>
        <w:t>3.7.1 投标文件应按第</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章“投标文件格式”进行编写，如有必要，可以增加附页，作为投标文件的组成部分。其中，投标函附录在满足招标文件实质性要求的基础上</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可以提出比招标文件要求更有利于招标人的承诺。</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投标文件应当对招标文件有关监理周期、投标有效期、招标范围等实质性内容作出响应。</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3.7.3投标文件全部采用电子文档</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除投标人须知前附表另有规定外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投标文件所附证书证件均为原件扫描件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并采</w:t>
      </w:r>
      <w:r>
        <w:rPr>
          <w:rFonts w:hint="eastAsia" w:ascii="宋体" w:hAnsi="宋体" w:eastAsia="宋体" w:cs="宋体"/>
          <w:color w:val="auto"/>
          <w:sz w:val="24"/>
          <w:szCs w:val="24"/>
          <w:highlight w:val="none"/>
        </w:rPr>
        <w:t>用单位和个人数字证书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按招标</w:t>
      </w:r>
      <w:r>
        <w:rPr>
          <w:rFonts w:hint="eastAsia" w:ascii="宋体" w:hAnsi="宋体" w:cs="宋体"/>
          <w:color w:val="auto"/>
          <w:sz w:val="24"/>
          <w:szCs w:val="24"/>
          <w:highlight w:val="none"/>
          <w:lang w:val="en-US" w:eastAsia="zh-CN"/>
        </w:rPr>
        <w:t>文件</w:t>
      </w:r>
      <w:r>
        <w:rPr>
          <w:rFonts w:hint="eastAsia" w:ascii="宋体" w:hAnsi="宋体" w:eastAsia="宋体" w:cs="宋体"/>
          <w:color w:val="auto"/>
          <w:sz w:val="24"/>
          <w:szCs w:val="24"/>
          <w:highlight w:val="none"/>
        </w:rPr>
        <w:t>要求在相应位置加盖电子印章。由投标人的法定代表人</w:t>
      </w:r>
      <w:r>
        <w:rPr>
          <w:rFonts w:hint="eastAsia" w:ascii="宋体" w:hAnsi="宋体" w:cs="宋体"/>
          <w:color w:val="auto"/>
          <w:sz w:val="24"/>
          <w:szCs w:val="24"/>
          <w:highlight w:val="none"/>
          <w:lang w:val="en-US" w:eastAsia="zh-CN"/>
        </w:rPr>
        <w:t>签字</w:t>
      </w:r>
      <w:r>
        <w:rPr>
          <w:rFonts w:hint="eastAsia" w:ascii="宋体" w:hAnsi="宋体" w:eastAsia="宋体" w:cs="宋体"/>
          <w:color w:val="auto"/>
          <w:sz w:val="24"/>
          <w:szCs w:val="24"/>
          <w:highlight w:val="none"/>
        </w:rPr>
        <w:t>或加盖电子印章的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应附法定代表人身份证明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由代理人</w:t>
      </w:r>
      <w:r>
        <w:rPr>
          <w:rFonts w:hint="eastAsia" w:ascii="宋体" w:hAnsi="宋体" w:cs="宋体"/>
          <w:color w:val="auto"/>
          <w:sz w:val="24"/>
          <w:szCs w:val="24"/>
          <w:highlight w:val="none"/>
          <w:lang w:val="en-US" w:eastAsia="zh-CN"/>
        </w:rPr>
        <w:t>签字</w:t>
      </w:r>
      <w:r>
        <w:rPr>
          <w:rFonts w:hint="eastAsia" w:ascii="宋体" w:hAnsi="宋体" w:eastAsia="宋体" w:cs="宋体"/>
          <w:color w:val="auto"/>
          <w:sz w:val="24"/>
          <w:szCs w:val="24"/>
          <w:highlight w:val="none"/>
        </w:rPr>
        <w:t>或加 盖电子印章的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应附由法定代表人签署的授权委托书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签字</w:t>
      </w:r>
      <w:r>
        <w:rPr>
          <w:rFonts w:hint="eastAsia" w:ascii="宋体" w:hAnsi="宋体" w:eastAsia="宋体" w:cs="宋体"/>
          <w:color w:val="auto"/>
          <w:sz w:val="24"/>
          <w:szCs w:val="24"/>
          <w:highlight w:val="none"/>
        </w:rPr>
        <w:t>或盖章的具体要求见投标人须知前附表。</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 因投标人自身原因而导致投标文件无法导入“电子交易平台”电子开标、评标系统，该投标视为无效投标，投标人自行承担由此导致的全部责任。</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 电子投标文件还须满足投标人须知前附表10.2项的规定。</w:t>
      </w:r>
    </w:p>
    <w:p>
      <w:pPr>
        <w:pStyle w:val="5"/>
        <w:pageBreakBefore w:val="0"/>
        <w:kinsoku/>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244" w:name="_Toc29593"/>
      <w:bookmarkStart w:id="245" w:name="_Toc15907"/>
      <w:bookmarkStart w:id="246" w:name="_Toc664"/>
      <w:bookmarkStart w:id="247" w:name="_Toc11062"/>
      <w:bookmarkStart w:id="248" w:name="_Toc17214"/>
      <w:bookmarkStart w:id="249" w:name="_Toc28996"/>
      <w:r>
        <w:rPr>
          <w:rFonts w:hint="eastAsia" w:ascii="宋体" w:hAnsi="宋体" w:eastAsia="宋体" w:cs="宋体"/>
          <w:color w:val="auto"/>
          <w:sz w:val="24"/>
          <w:szCs w:val="24"/>
          <w:highlight w:val="none"/>
        </w:rPr>
        <w:t>4.投标</w:t>
      </w:r>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14"/>
        <w:pageBreakBefore w:val="0"/>
        <w:kinsoku/>
        <w:overflowPunct/>
        <w:topLinePunct w:val="0"/>
        <w:bidi w:val="0"/>
        <w:spacing w:after="0" w:line="360" w:lineRule="auto"/>
        <w:textAlignment w:val="auto"/>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4.1 投标文件的加密</w:t>
      </w:r>
    </w:p>
    <w:p>
      <w:pPr>
        <w:pStyle w:val="14"/>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4.1.1</w:t>
      </w:r>
      <w:r>
        <w:rPr>
          <w:rFonts w:hint="eastAsia" w:ascii="宋体" w:hAnsi="宋体" w:eastAsia="宋体" w:cs="宋体"/>
          <w:color w:val="auto"/>
          <w:sz w:val="24"/>
          <w:szCs w:val="24"/>
          <w:highlight w:val="none"/>
        </w:rPr>
        <w:t>投标人应当按照招标</w:t>
      </w:r>
      <w:r>
        <w:rPr>
          <w:rFonts w:hint="eastAsia" w:ascii="宋体" w:hAnsi="宋体" w:cs="宋体"/>
          <w:color w:val="auto"/>
          <w:sz w:val="24"/>
          <w:szCs w:val="24"/>
          <w:highlight w:val="none"/>
          <w:lang w:val="en-US" w:eastAsia="zh-CN"/>
        </w:rPr>
        <w:t>文件</w:t>
      </w:r>
      <w:r>
        <w:rPr>
          <w:rFonts w:hint="eastAsia" w:ascii="宋体" w:hAnsi="宋体" w:eastAsia="宋体" w:cs="宋体"/>
          <w:color w:val="auto"/>
          <w:sz w:val="24"/>
          <w:szCs w:val="24"/>
          <w:highlight w:val="none"/>
        </w:rPr>
        <w:t>和电子招标投标交易平台的要求加密投标文件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具体要求见投标人须知前附表。</w:t>
      </w:r>
    </w:p>
    <w:p>
      <w:pPr>
        <w:pStyle w:val="14"/>
        <w:pageBreakBefore w:val="0"/>
        <w:kinsoku/>
        <w:overflowPunct/>
        <w:topLinePunct w:val="0"/>
        <w:bidi w:val="0"/>
        <w:spacing w:after="0" w:line="360" w:lineRule="auto"/>
        <w:ind w:left="0" w:leftChars="0" w:firstLine="480" w:firstLineChars="200"/>
        <w:textAlignment w:val="auto"/>
        <w:outlineLvl w:val="3"/>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4.1.2</w:t>
      </w:r>
      <w:r>
        <w:rPr>
          <w:rFonts w:hint="eastAsia" w:ascii="宋体" w:hAnsi="宋体" w:eastAsia="宋体" w:cs="宋体"/>
          <w:color w:val="auto"/>
          <w:sz w:val="24"/>
          <w:szCs w:val="24"/>
          <w:highlight w:val="none"/>
        </w:rPr>
        <w:t>投标文件封套上应写明的内容见投标人须知前附表。</w:t>
      </w:r>
    </w:p>
    <w:p>
      <w:pPr>
        <w:pStyle w:val="14"/>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4.1.3</w:t>
      </w:r>
      <w:r>
        <w:rPr>
          <w:rFonts w:hint="eastAsia" w:ascii="宋体" w:hAnsi="宋体" w:eastAsia="宋体" w:cs="宋体"/>
          <w:color w:val="auto"/>
          <w:sz w:val="24"/>
          <w:szCs w:val="24"/>
          <w:highlight w:val="none"/>
        </w:rPr>
        <w:t>未按本章第</w:t>
      </w:r>
      <w:r>
        <w:rPr>
          <w:rFonts w:hint="eastAsia" w:ascii="宋体" w:hAnsi="宋体" w:cs="宋体"/>
          <w:color w:val="auto"/>
          <w:sz w:val="24"/>
          <w:szCs w:val="24"/>
          <w:highlight w:val="none"/>
          <w:lang w:val="en-US" w:eastAsia="zh-CN"/>
        </w:rPr>
        <w:t>4.1.1</w:t>
      </w:r>
      <w:r>
        <w:rPr>
          <w:rFonts w:hint="eastAsia" w:ascii="宋体" w:hAnsi="宋体" w:eastAsia="宋体" w:cs="宋体"/>
          <w:color w:val="auto"/>
          <w:sz w:val="24"/>
          <w:szCs w:val="24"/>
          <w:highlight w:val="none"/>
        </w:rPr>
        <w:t>项要求密封的投标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招标人将予以拒收。</w:t>
      </w:r>
    </w:p>
    <w:p>
      <w:pPr>
        <w:pStyle w:val="14"/>
        <w:pageBreakBefore w:val="0"/>
        <w:kinsoku/>
        <w:overflowPunct/>
        <w:topLinePunct w:val="0"/>
        <w:bidi w:val="0"/>
        <w:spacing w:after="0" w:line="360" w:lineRule="auto"/>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 投标文件的递交</w:t>
      </w:r>
    </w:p>
    <w:p>
      <w:pPr>
        <w:pStyle w:val="14"/>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4.2.1</w:t>
      </w:r>
      <w:r>
        <w:rPr>
          <w:rFonts w:hint="eastAsia" w:ascii="宋体" w:hAnsi="宋体" w:eastAsia="宋体" w:cs="宋体"/>
          <w:color w:val="auto"/>
          <w:sz w:val="24"/>
          <w:szCs w:val="24"/>
          <w:highlight w:val="none"/>
        </w:rPr>
        <w:t>投标人应在第一章</w:t>
      </w:r>
      <w:r>
        <w:rPr>
          <w:rFonts w:hint="eastAsia" w:ascii="宋体" w:hAnsi="宋体" w:cs="宋体"/>
          <w:color w:val="auto"/>
          <w:sz w:val="24"/>
          <w:szCs w:val="24"/>
          <w:highlight w:val="none"/>
          <w:lang w:val="en-US" w:eastAsia="zh-CN"/>
        </w:rPr>
        <w:t>投标人须知前附表</w:t>
      </w:r>
      <w:r>
        <w:rPr>
          <w:rFonts w:hint="eastAsia" w:ascii="宋体" w:hAnsi="宋体" w:eastAsia="宋体" w:cs="宋体"/>
          <w:color w:val="auto"/>
          <w:sz w:val="24"/>
          <w:szCs w:val="24"/>
          <w:highlight w:val="none"/>
        </w:rPr>
        <w:t>规定的投标截止时间前，通过互联网使用CA 数字证书登录“郑州航空港经济综合实验区（郑州新郑综合保税区）公共资源交易中心电子交易平台”，将加密的投标文件上传。投标人应充分考虑上传文件时的不可预见因素，未在投标截止时间前完成上传的，视为逾期送达，电子交易平台将予以拒收。</w:t>
      </w:r>
    </w:p>
    <w:p>
      <w:pPr>
        <w:pStyle w:val="14"/>
        <w:pageBreakBefore w:val="0"/>
        <w:numPr>
          <w:ilvl w:val="0"/>
          <w:numId w:val="0"/>
        </w:numPr>
        <w:kinsoku/>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4.2.2</w:t>
      </w:r>
      <w:r>
        <w:rPr>
          <w:rFonts w:hint="eastAsia" w:ascii="宋体" w:hAnsi="宋体" w:eastAsia="宋体" w:cs="宋体"/>
          <w:color w:val="auto"/>
          <w:sz w:val="24"/>
          <w:szCs w:val="24"/>
          <w:highlight w:val="none"/>
        </w:rPr>
        <w:t>除投标人须知前附表另有规定外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投标人所递交的投标文件不予退还。</w:t>
      </w:r>
    </w:p>
    <w:p>
      <w:pPr>
        <w:pStyle w:val="14"/>
        <w:pageBreakBefore w:val="0"/>
        <w:numPr>
          <w:ilvl w:val="0"/>
          <w:numId w:val="0"/>
        </w:numPr>
        <w:kinsoku/>
        <w:overflowPunct/>
        <w:topLinePunct w:val="0"/>
        <w:bidi w:val="0"/>
        <w:spacing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4.2.3</w:t>
      </w:r>
      <w:r>
        <w:rPr>
          <w:rFonts w:hint="eastAsia" w:ascii="宋体" w:hAnsi="宋体" w:eastAsia="宋体" w:cs="宋体"/>
          <w:color w:val="auto"/>
          <w:sz w:val="24"/>
          <w:szCs w:val="24"/>
          <w:highlight w:val="none"/>
        </w:rPr>
        <w:t>投标人完成电子投标文件上传后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电子招标投标交易平台即时向投标人发出递交回执通知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递交时间以递交回执通知载明的传输完成时间为准。</w:t>
      </w:r>
    </w:p>
    <w:p>
      <w:pPr>
        <w:pStyle w:val="14"/>
        <w:pageBreakBefore w:val="0"/>
        <w:kinsoku/>
        <w:overflowPunct/>
        <w:topLinePunct w:val="0"/>
        <w:bidi w:val="0"/>
        <w:spacing w:after="0" w:line="360" w:lineRule="auto"/>
        <w:textAlignment w:val="auto"/>
        <w:outlineLvl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4.3 投标文件的修改与撤回</w:t>
      </w:r>
    </w:p>
    <w:p>
      <w:pPr>
        <w:pStyle w:val="14"/>
        <w:pageBreakBefore w:val="0"/>
        <w:kinsoku/>
        <w:overflowPunct/>
        <w:topLinePunct w:val="0"/>
        <w:bidi w:val="0"/>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4.3.1</w:t>
      </w:r>
      <w:r>
        <w:rPr>
          <w:rFonts w:hint="eastAsia" w:ascii="宋体" w:hAnsi="宋体" w:eastAsia="宋体" w:cs="宋体"/>
          <w:color w:val="auto"/>
          <w:sz w:val="24"/>
          <w:szCs w:val="24"/>
          <w:highlight w:val="none"/>
        </w:rPr>
        <w:t>在本章第</w:t>
      </w:r>
      <w:r>
        <w:rPr>
          <w:rFonts w:hint="eastAsia" w:ascii="宋体" w:hAnsi="宋体" w:cs="宋体"/>
          <w:color w:val="auto"/>
          <w:sz w:val="24"/>
          <w:szCs w:val="24"/>
          <w:highlight w:val="none"/>
          <w:lang w:val="en-US" w:eastAsia="zh-CN"/>
        </w:rPr>
        <w:t>4.2.1</w:t>
      </w:r>
      <w:r>
        <w:rPr>
          <w:rFonts w:hint="eastAsia" w:ascii="宋体" w:hAnsi="宋体" w:eastAsia="宋体" w:cs="宋体"/>
          <w:color w:val="auto"/>
          <w:sz w:val="24"/>
          <w:szCs w:val="24"/>
          <w:highlight w:val="none"/>
        </w:rPr>
        <w:t>项规定的投标截止时间前，投标人可以修改或撤回已递交的投标文件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但</w:t>
      </w:r>
      <w:r>
        <w:rPr>
          <w:rFonts w:hint="eastAsia" w:ascii="宋体" w:hAnsi="宋体" w:cs="宋体"/>
          <w:color w:val="auto"/>
          <w:sz w:val="24"/>
          <w:szCs w:val="24"/>
          <w:highlight w:val="none"/>
          <w:lang w:eastAsia="zh-CN"/>
        </w:rPr>
        <w:t>应以书面形式通知招标人</w:t>
      </w:r>
      <w:r>
        <w:rPr>
          <w:rFonts w:hint="eastAsia" w:ascii="宋体" w:hAnsi="宋体" w:eastAsia="宋体" w:cs="宋体"/>
          <w:color w:val="auto"/>
          <w:sz w:val="24"/>
          <w:szCs w:val="24"/>
          <w:highlight w:val="none"/>
        </w:rPr>
        <w:t>。投标人对加密的投标文件进行撤回的，应在“电子交易平台”直接进行撤回操作；投标人对加密的投标文件进行修改的，应在投标截止时间前完成上传。</w:t>
      </w:r>
    </w:p>
    <w:p>
      <w:pPr>
        <w:pStyle w:val="14"/>
        <w:pageBreakBefore w:val="0"/>
        <w:numPr>
          <w:ilvl w:val="0"/>
          <w:numId w:val="0"/>
        </w:numPr>
        <w:kinsoku/>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4.3.2</w:t>
      </w:r>
      <w:r>
        <w:rPr>
          <w:rFonts w:hint="eastAsia" w:ascii="宋体" w:hAnsi="宋体" w:eastAsia="宋体" w:cs="宋体"/>
          <w:color w:val="auto"/>
          <w:sz w:val="24"/>
          <w:szCs w:val="24"/>
          <w:highlight w:val="none"/>
        </w:rPr>
        <w:t>投标人修改或撤回</w:t>
      </w:r>
      <w:r>
        <w:rPr>
          <w:rFonts w:hint="eastAsia" w:ascii="宋体" w:hAnsi="宋体" w:cs="宋体"/>
          <w:color w:val="auto"/>
          <w:sz w:val="24"/>
          <w:szCs w:val="24"/>
          <w:highlight w:val="none"/>
          <w:lang w:val="en-US" w:eastAsia="zh-CN"/>
        </w:rPr>
        <w:t>已</w:t>
      </w:r>
      <w:r>
        <w:rPr>
          <w:rFonts w:hint="eastAsia" w:ascii="宋体" w:hAnsi="宋体" w:eastAsia="宋体" w:cs="宋体"/>
          <w:color w:val="auto"/>
          <w:sz w:val="24"/>
          <w:szCs w:val="24"/>
          <w:highlight w:val="none"/>
        </w:rPr>
        <w:t>递交投标文件的通知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应按照本章第</w:t>
      </w:r>
      <w:r>
        <w:rPr>
          <w:rFonts w:hint="eastAsia" w:ascii="宋体" w:hAnsi="宋体" w:cs="宋体"/>
          <w:color w:val="auto"/>
          <w:sz w:val="24"/>
          <w:szCs w:val="24"/>
          <w:highlight w:val="none"/>
          <w:lang w:val="en-US" w:eastAsia="zh-CN"/>
        </w:rPr>
        <w:t>3.7.3</w:t>
      </w:r>
      <w:r>
        <w:rPr>
          <w:rFonts w:hint="eastAsia" w:ascii="宋体" w:hAnsi="宋体" w:eastAsia="宋体" w:cs="宋体"/>
          <w:color w:val="auto"/>
          <w:sz w:val="24"/>
          <w:szCs w:val="24"/>
          <w:highlight w:val="none"/>
        </w:rPr>
        <w:t>项的要求加盖电子印章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电子招标投标交易平台收到通知后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即时向投标人发出确认回执通知。</w:t>
      </w:r>
    </w:p>
    <w:p>
      <w:pPr>
        <w:pStyle w:val="14"/>
        <w:pageBreakBefore w:val="0"/>
        <w:numPr>
          <w:ilvl w:val="0"/>
          <w:numId w:val="0"/>
        </w:numPr>
        <w:kinsoku/>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4.3.3</w:t>
      </w:r>
      <w:r>
        <w:rPr>
          <w:rFonts w:hint="eastAsia" w:ascii="宋体" w:hAnsi="宋体" w:eastAsia="宋体" w:cs="宋体"/>
          <w:color w:val="auto"/>
          <w:sz w:val="24"/>
          <w:szCs w:val="24"/>
          <w:highlight w:val="none"/>
        </w:rPr>
        <w:t>投标人撤回投标文件的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招标人自收到投标人书面撤回通知之日起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日内退还</w:t>
      </w:r>
      <w:r>
        <w:rPr>
          <w:rFonts w:hint="eastAsia" w:ascii="宋体" w:hAnsi="宋体" w:cs="宋体"/>
          <w:color w:val="auto"/>
          <w:sz w:val="24"/>
          <w:szCs w:val="24"/>
          <w:highlight w:val="none"/>
          <w:lang w:val="en-US" w:eastAsia="zh-CN"/>
        </w:rPr>
        <w:t>已</w:t>
      </w:r>
      <w:r>
        <w:rPr>
          <w:rFonts w:hint="eastAsia" w:ascii="宋体" w:hAnsi="宋体" w:eastAsia="宋体" w:cs="宋体"/>
          <w:color w:val="auto"/>
          <w:sz w:val="24"/>
          <w:szCs w:val="24"/>
          <w:highlight w:val="none"/>
        </w:rPr>
        <w:t>收取的投标保证金。</w:t>
      </w:r>
    </w:p>
    <w:p>
      <w:pPr>
        <w:pStyle w:val="14"/>
        <w:pageBreakBefore w:val="0"/>
        <w:numPr>
          <w:ilvl w:val="0"/>
          <w:numId w:val="0"/>
        </w:numPr>
        <w:kinsoku/>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4.3.4</w:t>
      </w:r>
      <w:r>
        <w:rPr>
          <w:rFonts w:hint="eastAsia" w:ascii="宋体" w:hAnsi="宋体" w:eastAsia="宋体" w:cs="宋体"/>
          <w:color w:val="auto"/>
          <w:sz w:val="24"/>
          <w:szCs w:val="24"/>
          <w:highlight w:val="none"/>
        </w:rPr>
        <w:t>修改的内容为投标文件的组成部分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修改的投标文件应按照本章</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条、第</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条的规定进行编制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密封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标记和递交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并标明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修改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字样。</w:t>
      </w:r>
    </w:p>
    <w:p>
      <w:pPr>
        <w:pStyle w:val="5"/>
        <w:pageBreakBefore w:val="0"/>
        <w:kinsoku/>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250" w:name="_Toc22922"/>
      <w:bookmarkStart w:id="251" w:name="_Toc19830"/>
      <w:bookmarkStart w:id="252" w:name="_Toc15669"/>
      <w:bookmarkStart w:id="253" w:name="_Toc30535"/>
      <w:bookmarkStart w:id="254" w:name="_Toc191983619"/>
      <w:bookmarkStart w:id="255" w:name="_Toc10856"/>
      <w:bookmarkStart w:id="256" w:name="_Toc24134"/>
      <w:bookmarkStart w:id="257" w:name="_Toc266190050"/>
      <w:bookmarkStart w:id="258" w:name="_Toc27288"/>
      <w:bookmarkStart w:id="259" w:name="_Toc19195"/>
      <w:r>
        <w:rPr>
          <w:rFonts w:hint="eastAsia" w:ascii="宋体" w:hAnsi="宋体" w:eastAsia="宋体" w:cs="宋体"/>
          <w:color w:val="auto"/>
          <w:sz w:val="24"/>
          <w:szCs w:val="24"/>
          <w:highlight w:val="none"/>
        </w:rPr>
        <w:t>5.开标</w:t>
      </w:r>
      <w:bookmarkEnd w:id="250"/>
      <w:bookmarkEnd w:id="251"/>
      <w:bookmarkEnd w:id="252"/>
      <w:bookmarkEnd w:id="253"/>
      <w:bookmarkEnd w:id="254"/>
      <w:bookmarkEnd w:id="255"/>
      <w:bookmarkEnd w:id="256"/>
      <w:bookmarkEnd w:id="257"/>
      <w:bookmarkEnd w:id="258"/>
      <w:bookmarkEnd w:id="259"/>
    </w:p>
    <w:p>
      <w:pPr>
        <w:pageBreakBefore w:val="0"/>
        <w:widowControl/>
        <w:kinsoku/>
        <w:overflowPunct/>
        <w:topLinePunct w:val="0"/>
        <w:bidi w:val="0"/>
        <w:spacing w:line="360" w:lineRule="auto"/>
        <w:ind w:left="0" w:leftChars="0" w:firstLine="480" w:firstLineChars="200"/>
        <w:jc w:val="left"/>
        <w:textAlignment w:val="auto"/>
        <w:outlineLvl w:val="2"/>
        <w:rPr>
          <w:rFonts w:hint="eastAsia" w:ascii="宋体" w:hAnsi="宋体" w:eastAsia="宋体" w:cs="宋体"/>
          <w:color w:val="auto"/>
          <w:sz w:val="24"/>
          <w:szCs w:val="24"/>
          <w:highlight w:val="none"/>
        </w:rPr>
      </w:pPr>
      <w:bookmarkStart w:id="260" w:name="_Toc24186"/>
      <w:bookmarkStart w:id="261" w:name="_Toc11530"/>
      <w:bookmarkStart w:id="262" w:name="_Toc30172"/>
      <w:bookmarkStart w:id="263" w:name="_Toc21879"/>
      <w:bookmarkStart w:id="264" w:name="_Toc22099"/>
      <w:bookmarkStart w:id="265" w:name="_Toc191983620"/>
      <w:bookmarkStart w:id="266" w:name="_Toc266190051"/>
      <w:r>
        <w:rPr>
          <w:rFonts w:hint="eastAsia" w:ascii="宋体" w:hAnsi="宋体" w:eastAsia="宋体" w:cs="宋体"/>
          <w:color w:val="auto"/>
          <w:sz w:val="24"/>
          <w:szCs w:val="24"/>
          <w:highlight w:val="none"/>
        </w:rPr>
        <w:t>5.1 开标时间和地点</w:t>
      </w:r>
    </w:p>
    <w:p>
      <w:pPr>
        <w:pageBreakBefore w:val="0"/>
        <w:widowControl/>
        <w:kinsoku/>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招标人须知前附表</w:t>
      </w:r>
      <w:r>
        <w:rPr>
          <w:rFonts w:hint="eastAsia" w:ascii="宋体" w:hAnsi="宋体" w:eastAsia="宋体" w:cs="宋体"/>
          <w:color w:val="auto"/>
          <w:sz w:val="24"/>
          <w:szCs w:val="24"/>
          <w:highlight w:val="none"/>
        </w:rPr>
        <w:t>规定的投标截止时间（开标时间）和投标人须知前附表规定的地点公开开标，本项目采用“远程不见面”开标方式，投标人无需到现场参加开标会议。投标人应当在投标截止时间前,登录郑州航空港经济综合实验区（郑州新郑综合保税区）公共资源交易中心网（www.zzhkgggzy.cn）远程开标大厅，在线准时参加开标活动并进行文件解密、答疑澄清等。</w:t>
      </w:r>
    </w:p>
    <w:p>
      <w:pPr>
        <w:pageBreakBefore w:val="0"/>
        <w:widowControl/>
        <w:kinsoku/>
        <w:overflowPunct/>
        <w:topLinePunct w:val="0"/>
        <w:bidi w:val="0"/>
        <w:spacing w:line="360" w:lineRule="auto"/>
        <w:ind w:left="0" w:leftChars="0"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开标程序</w:t>
      </w:r>
    </w:p>
    <w:p>
      <w:pPr>
        <w:pageBreakBefore w:val="0"/>
        <w:widowControl/>
        <w:kinsoku/>
        <w:overflowPunct/>
        <w:topLinePunct w:val="0"/>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按交易中心电子招投标系统程序电子开标，投标人应提前登录不见面开标大厅，进行签到、解密及查看开标情况。</w:t>
      </w:r>
    </w:p>
    <w:p>
      <w:pPr>
        <w:pageBreakBefore w:val="0"/>
        <w:widowControl/>
        <w:kinsoku/>
        <w:overflowPunct/>
        <w:topLinePunct w:val="0"/>
        <w:bidi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电子开标具体操作流程详见郑州航空港经济综合实验区公共资源交易中心不见面开标大厅操作手册（投标人）。</w:t>
      </w:r>
    </w:p>
    <w:p>
      <w:pPr>
        <w:pStyle w:val="5"/>
        <w:pageBreakBefore w:val="0"/>
        <w:kinsoku/>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267" w:name="_Toc12438"/>
      <w:bookmarkStart w:id="268" w:name="_Toc19215"/>
      <w:bookmarkStart w:id="269" w:name="_Toc31241"/>
      <w:bookmarkStart w:id="270" w:name="_Toc17776"/>
      <w:bookmarkStart w:id="271" w:name="_Toc14581"/>
      <w:bookmarkStart w:id="272" w:name="_Toc13978"/>
      <w:r>
        <w:rPr>
          <w:rFonts w:hint="eastAsia" w:ascii="宋体" w:hAnsi="宋体" w:eastAsia="宋体" w:cs="宋体"/>
          <w:color w:val="auto"/>
          <w:sz w:val="24"/>
          <w:szCs w:val="24"/>
          <w:highlight w:val="none"/>
        </w:rPr>
        <w:t>6.评标</w:t>
      </w:r>
      <w:bookmarkEnd w:id="260"/>
      <w:bookmarkEnd w:id="261"/>
      <w:bookmarkEnd w:id="262"/>
      <w:bookmarkEnd w:id="263"/>
      <w:bookmarkEnd w:id="264"/>
      <w:bookmarkEnd w:id="265"/>
      <w:bookmarkEnd w:id="266"/>
      <w:bookmarkEnd w:id="267"/>
      <w:bookmarkEnd w:id="268"/>
      <w:bookmarkEnd w:id="269"/>
      <w:bookmarkEnd w:id="270"/>
      <w:bookmarkEnd w:id="271"/>
      <w:bookmarkEnd w:id="272"/>
    </w:p>
    <w:p>
      <w:pPr>
        <w:pageBreakBefore w:val="0"/>
        <w:kinsoku/>
        <w:overflowPunct/>
        <w:bidi w:val="0"/>
        <w:spacing w:line="360" w:lineRule="auto"/>
        <w:ind w:firstLine="480" w:firstLineChars="20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评标委员会</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评标由招标人依法组建的评标委员会负责。评标委员会由有关技术、经济等方面的专家组成。评标委员会成员人数以及技术、经济等方面专家的确定方式见投标人须知前附表。</w:t>
      </w:r>
    </w:p>
    <w:p>
      <w:pPr>
        <w:pageBreakBefore w:val="0"/>
        <w:kinsoku/>
        <w:overflowPunct/>
        <w:bidi w:val="0"/>
        <w:spacing w:line="360" w:lineRule="auto"/>
        <w:ind w:firstLine="480" w:firstLineChars="200"/>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评标委员会成员有下列情形之一的，应当回避：</w:t>
      </w:r>
    </w:p>
    <w:p>
      <w:pPr>
        <w:pageBreakBefore w:val="0"/>
        <w:kinsoku/>
        <w:overflowPunct/>
        <w:bidi w:val="0"/>
        <w:spacing w:line="360" w:lineRule="auto"/>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（1）投标人的在职人员；</w:t>
      </w:r>
    </w:p>
    <w:p>
      <w:pPr>
        <w:pageBreakBefore w:val="0"/>
        <w:kinsoku/>
        <w:overflowPunct/>
        <w:bidi w:val="0"/>
        <w:spacing w:line="360" w:lineRule="auto"/>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（2）投标人或者投标人主要负责人的近亲属；</w:t>
      </w:r>
    </w:p>
    <w:p>
      <w:pPr>
        <w:pageBreakBefore w:val="0"/>
        <w:kinsoku/>
        <w:overflowPunct/>
        <w:bidi w:val="0"/>
        <w:spacing w:line="360" w:lineRule="auto"/>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（3）与投标人有其他利害关系，可能影响公正评标的；</w:t>
      </w:r>
    </w:p>
    <w:p>
      <w:pPr>
        <w:pageBreakBefore w:val="0"/>
        <w:kinsoku/>
        <w:overflowPunct/>
        <w:bidi w:val="0"/>
        <w:spacing w:line="360" w:lineRule="auto"/>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（4）招标项目主管部门或者对项目招标投标活动具有监督管理职责的行政监督部门的工作人员；</w:t>
      </w:r>
    </w:p>
    <w:p>
      <w:pPr>
        <w:pageBreakBefore w:val="0"/>
        <w:kinsoku/>
        <w:overflowPunct/>
        <w:bidi w:val="0"/>
        <w:spacing w:line="360" w:lineRule="auto"/>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（5）曾因在招标、评标以及其他与招标投标有关活动中从事违法行为而受过行政处罚或刑事处罚的。</w:t>
      </w:r>
    </w:p>
    <w:p>
      <w:pPr>
        <w:pageBreakBefore w:val="0"/>
        <w:kinsoku/>
        <w:overflowPunct/>
        <w:bidi w:val="0"/>
        <w:spacing w:line="360" w:lineRule="auto"/>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（6）招标项目代理机构的在职人员；</w:t>
      </w:r>
    </w:p>
    <w:p>
      <w:pPr>
        <w:pageBreakBefore w:val="0"/>
        <w:kinsoku/>
        <w:overflowPunct/>
        <w:bidi w:val="0"/>
        <w:spacing w:line="360" w:lineRule="auto"/>
        <w:ind w:firstLine="480" w:firstLineChars="20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（7）法律、法规和规章规定的其他情形。</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ageBreakBefore w:val="0"/>
        <w:tabs>
          <w:tab w:val="left" w:pos="0"/>
          <w:tab w:val="left" w:pos="312"/>
        </w:tabs>
        <w:kinsoku/>
        <w:overflowPunct/>
        <w:topLinePunct w:val="0"/>
        <w:bidi w:val="0"/>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6.2评标原则</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pPr>
        <w:pageBreakBefore w:val="0"/>
        <w:tabs>
          <w:tab w:val="left" w:pos="0"/>
          <w:tab w:val="left" w:pos="312"/>
        </w:tabs>
        <w:kinsoku/>
        <w:overflowPunct/>
        <w:topLinePunct w:val="0"/>
        <w:bidi w:val="0"/>
        <w:spacing w:line="360" w:lineRule="auto"/>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6.3评标</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评标委员会按照第三章“评标办法”规定的方法、评审因素、标准和程序对投标文件进行评审。第三章“评标办法”没有规定的方法、评审因素和标准，不作为评标依据。</w:t>
      </w:r>
    </w:p>
    <w:p>
      <w:pPr>
        <w:pageBreakBefore w:val="0"/>
        <w:kinsoku/>
        <w:overflowPunct/>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评标完成后，评标委员会应当向招标人提交书面评标报告和中标候选人名单。评标委员会推荐中标候选人的人数见投标人须知前附表。</w:t>
      </w:r>
    </w:p>
    <w:p>
      <w:pPr>
        <w:pStyle w:val="5"/>
        <w:pageBreakBefore w:val="0"/>
        <w:kinsoku/>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273" w:name="_Toc22716"/>
      <w:bookmarkStart w:id="274" w:name="_Toc266190052"/>
      <w:bookmarkStart w:id="275" w:name="_Toc21549"/>
      <w:bookmarkStart w:id="276" w:name="_Toc2849"/>
      <w:bookmarkStart w:id="277" w:name="_Toc29163"/>
      <w:bookmarkStart w:id="278" w:name="_Toc2935"/>
      <w:bookmarkStart w:id="279" w:name="_Toc191983621"/>
      <w:bookmarkStart w:id="280" w:name="_Toc6402"/>
      <w:bookmarkStart w:id="281" w:name="_Toc4534"/>
      <w:bookmarkStart w:id="282" w:name="_Toc5553"/>
      <w:r>
        <w:rPr>
          <w:rFonts w:hint="eastAsia" w:ascii="宋体" w:hAnsi="宋体" w:eastAsia="宋体" w:cs="宋体"/>
          <w:color w:val="auto"/>
          <w:sz w:val="24"/>
          <w:szCs w:val="24"/>
          <w:highlight w:val="none"/>
        </w:rPr>
        <w:t>7.合同授予</w:t>
      </w:r>
      <w:bookmarkEnd w:id="273"/>
      <w:bookmarkEnd w:id="274"/>
      <w:bookmarkEnd w:id="275"/>
      <w:bookmarkEnd w:id="276"/>
      <w:bookmarkEnd w:id="277"/>
      <w:bookmarkEnd w:id="278"/>
      <w:bookmarkEnd w:id="279"/>
      <w:bookmarkEnd w:id="280"/>
      <w:bookmarkEnd w:id="281"/>
      <w:bookmarkEnd w:id="282"/>
    </w:p>
    <w:p>
      <w:pPr>
        <w:pageBreakBefore w:val="0"/>
        <w:kinsoku/>
        <w:overflowPunct/>
        <w:topLinePunct w:val="0"/>
        <w:bidi w:val="0"/>
        <w:spacing w:line="360" w:lineRule="auto"/>
        <w:ind w:left="0" w:leftChars="0" w:firstLine="480" w:firstLineChars="200"/>
        <w:textAlignment w:val="auto"/>
        <w:outlineLvl w:val="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7.1 </w:t>
      </w:r>
      <w:r>
        <w:rPr>
          <w:rFonts w:hint="eastAsia" w:ascii="宋体" w:hAnsi="宋体" w:cs="宋体"/>
          <w:color w:val="auto"/>
          <w:sz w:val="24"/>
          <w:szCs w:val="24"/>
          <w:highlight w:val="none"/>
          <w:lang w:val="en-US" w:eastAsia="zh-CN"/>
        </w:rPr>
        <w:t>定标方式</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本项目采用评定分离方式确定中标人，由招标人组建的定标委员会根据招标文件第四章“定标办法”确定中标人</w:t>
      </w:r>
      <w:r>
        <w:rPr>
          <w:rFonts w:hint="eastAsia" w:ascii="宋体" w:hAnsi="宋体" w:eastAsia="宋体" w:cs="宋体"/>
          <w:color w:val="auto"/>
          <w:sz w:val="24"/>
          <w:szCs w:val="24"/>
          <w:highlight w:val="none"/>
        </w:rPr>
        <w:t>。</w:t>
      </w:r>
    </w:p>
    <w:p>
      <w:pPr>
        <w:pageBreakBefore w:val="0"/>
        <w:kinsoku/>
        <w:overflowPunct/>
        <w:topLinePunct w:val="0"/>
        <w:bidi w:val="0"/>
        <w:spacing w:line="360" w:lineRule="auto"/>
        <w:ind w:left="0" w:leftChars="0" w:firstLine="480" w:firstLineChars="200"/>
        <w:textAlignment w:val="auto"/>
        <w:outlineLvl w:val="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7.2 </w:t>
      </w:r>
      <w:r>
        <w:rPr>
          <w:rFonts w:hint="eastAsia" w:ascii="宋体" w:hAnsi="宋体" w:cs="宋体"/>
          <w:color w:val="auto"/>
          <w:sz w:val="24"/>
          <w:szCs w:val="24"/>
          <w:highlight w:val="none"/>
          <w:lang w:val="en-US" w:eastAsia="zh-CN"/>
        </w:rPr>
        <w:t>中标通知</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在本章第3.3款规定的投标有效期内，招标人以书面形式向中标人发布中标通知书同时将中标结果通知未中标的投标人</w:t>
      </w:r>
      <w:r>
        <w:rPr>
          <w:rFonts w:hint="eastAsia" w:ascii="宋体" w:hAnsi="宋体" w:eastAsia="宋体" w:cs="宋体"/>
          <w:color w:val="auto"/>
          <w:sz w:val="24"/>
          <w:szCs w:val="24"/>
          <w:highlight w:val="none"/>
        </w:rPr>
        <w:t>。</w:t>
      </w:r>
    </w:p>
    <w:p>
      <w:pPr>
        <w:pageBreakBefore w:val="0"/>
        <w:kinsoku/>
        <w:overflowPunct/>
        <w:topLinePunct w:val="0"/>
        <w:bidi w:val="0"/>
        <w:spacing w:line="360" w:lineRule="auto"/>
        <w:ind w:left="0" w:leftChars="0" w:firstLine="480" w:firstLineChars="200"/>
        <w:textAlignment w:val="auto"/>
        <w:outlineLvl w:val="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7.3 </w:t>
      </w:r>
      <w:r>
        <w:rPr>
          <w:rFonts w:hint="eastAsia" w:ascii="宋体" w:hAnsi="宋体" w:cs="宋体"/>
          <w:color w:val="auto"/>
          <w:sz w:val="24"/>
          <w:szCs w:val="24"/>
          <w:highlight w:val="none"/>
          <w:lang w:val="en-US" w:eastAsia="zh-CN"/>
        </w:rPr>
        <w:t>履约担保</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7.3.1</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eastAsia="zh-CN"/>
        </w:rPr>
        <w:t>签订合同</w:t>
      </w:r>
      <w:r>
        <w:rPr>
          <w:rFonts w:hint="eastAsia" w:ascii="宋体" w:hAnsi="宋体" w:eastAsia="宋体" w:cs="宋体"/>
          <w:color w:val="auto"/>
          <w:sz w:val="24"/>
          <w:szCs w:val="24"/>
          <w:highlight w:val="none"/>
        </w:rPr>
        <w:t>前</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中标人应按投标人须知前附表规定的金额、担保形式和招标文件第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合同条款及格式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规定的履约担保格式向招标人提交履约担保。联合体中标的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其履约担保由牵头人递交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并应符合投标人须知前附表规定的金额</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担保形式和招标文件第</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合同条款及格式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规定的履约担保格式要求。</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7.3.2</w:t>
      </w:r>
      <w:r>
        <w:rPr>
          <w:rFonts w:hint="eastAsia" w:ascii="宋体" w:hAnsi="宋体" w:eastAsia="宋体" w:cs="宋体"/>
          <w:color w:val="auto"/>
          <w:sz w:val="24"/>
          <w:szCs w:val="24"/>
          <w:highlight w:val="none"/>
        </w:rPr>
        <w:t>中标人不能按本章第</w:t>
      </w:r>
      <w:r>
        <w:rPr>
          <w:rFonts w:hint="eastAsia" w:ascii="宋体" w:hAnsi="宋体" w:cs="宋体"/>
          <w:color w:val="auto"/>
          <w:sz w:val="24"/>
          <w:szCs w:val="24"/>
          <w:highlight w:val="none"/>
          <w:lang w:val="en-US" w:eastAsia="zh-CN"/>
        </w:rPr>
        <w:t>7.3.1</w:t>
      </w:r>
      <w:r>
        <w:rPr>
          <w:rFonts w:hint="eastAsia" w:ascii="宋体" w:hAnsi="宋体" w:eastAsia="宋体" w:cs="宋体"/>
          <w:color w:val="auto"/>
          <w:sz w:val="24"/>
          <w:szCs w:val="24"/>
          <w:highlight w:val="none"/>
        </w:rPr>
        <w:t>项要求提交履约担保的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视为放弃中标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其投标保证金不予退还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给招标人造成的损失超过投标保证金数额的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中标人还应当对超过部分予以赔偿。</w:t>
      </w:r>
    </w:p>
    <w:p>
      <w:pPr>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定标</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除投标人须知前附表规定评标委员会直接确定中标人外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招标人依据评标委员会推荐的中标候选人确定中标人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评标委员会推荐中标候选人的人数见投标人须知前附表。</w:t>
      </w:r>
    </w:p>
    <w:p>
      <w:pPr>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中标通知</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投标人须知前附表</w:t>
      </w:r>
      <w:r>
        <w:rPr>
          <w:rFonts w:hint="eastAsia" w:ascii="宋体" w:hAnsi="宋体" w:eastAsia="宋体" w:cs="宋体"/>
          <w:color w:val="auto"/>
          <w:sz w:val="24"/>
          <w:szCs w:val="24"/>
          <w:highlight w:val="none"/>
        </w:rPr>
        <w:t>规定的投标有效期内，招标人向中标人发出中标通知书。</w:t>
      </w:r>
    </w:p>
    <w:p>
      <w:pPr>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 签订合同</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pPr>
        <w:pStyle w:val="5"/>
        <w:pageBreakBefore w:val="0"/>
        <w:kinsoku/>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283" w:name="_Toc26414"/>
      <w:bookmarkStart w:id="284" w:name="_Toc18782"/>
      <w:bookmarkStart w:id="285" w:name="_Toc1378"/>
      <w:bookmarkStart w:id="286" w:name="_Toc191983622"/>
      <w:bookmarkStart w:id="287" w:name="_Toc6062"/>
      <w:bookmarkStart w:id="288" w:name="_Toc4198"/>
      <w:bookmarkStart w:id="289" w:name="_Toc266190053"/>
      <w:bookmarkStart w:id="290" w:name="_Toc14811"/>
      <w:bookmarkStart w:id="291" w:name="_Toc14119"/>
      <w:bookmarkStart w:id="292" w:name="_Toc26104"/>
      <w:r>
        <w:rPr>
          <w:rFonts w:hint="eastAsia" w:ascii="宋体" w:hAnsi="宋体" w:eastAsia="宋体" w:cs="宋体"/>
          <w:color w:val="auto"/>
          <w:sz w:val="24"/>
          <w:szCs w:val="24"/>
          <w:highlight w:val="none"/>
        </w:rPr>
        <w:t>8重新招标和不再招标</w:t>
      </w:r>
      <w:bookmarkEnd w:id="283"/>
      <w:bookmarkEnd w:id="284"/>
      <w:bookmarkEnd w:id="285"/>
      <w:bookmarkEnd w:id="286"/>
      <w:bookmarkEnd w:id="287"/>
      <w:bookmarkEnd w:id="288"/>
      <w:bookmarkEnd w:id="289"/>
      <w:bookmarkEnd w:id="290"/>
      <w:bookmarkEnd w:id="291"/>
      <w:bookmarkEnd w:id="292"/>
    </w:p>
    <w:p>
      <w:pPr>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b w:val="0"/>
          <w:bCs/>
          <w:color w:val="auto"/>
          <w:sz w:val="24"/>
          <w:szCs w:val="24"/>
          <w:highlight w:val="none"/>
        </w:rPr>
      </w:pPr>
      <w:bookmarkStart w:id="293" w:name="_Toc461"/>
      <w:bookmarkStart w:id="294" w:name="_Toc32159_WPSOffice_Level3"/>
      <w:bookmarkStart w:id="295" w:name="_Toc191983623"/>
      <w:bookmarkStart w:id="296" w:name="_Toc266190054"/>
      <w:r>
        <w:rPr>
          <w:rFonts w:hint="eastAsia" w:ascii="宋体" w:hAnsi="宋体" w:eastAsia="宋体" w:cs="宋体"/>
          <w:b w:val="0"/>
          <w:bCs/>
          <w:color w:val="auto"/>
          <w:sz w:val="24"/>
          <w:szCs w:val="24"/>
          <w:highlight w:val="none"/>
        </w:rPr>
        <w:t>8.1重新招标</w:t>
      </w:r>
      <w:bookmarkEnd w:id="293"/>
      <w:bookmarkEnd w:id="294"/>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bookmarkStart w:id="297" w:name="_Toc27323_WPSOffice_Level3"/>
      <w:r>
        <w:rPr>
          <w:rFonts w:hint="eastAsia" w:ascii="宋体" w:hAnsi="宋体" w:eastAsia="宋体" w:cs="宋体"/>
          <w:b w:val="0"/>
          <w:bCs/>
          <w:color w:val="auto"/>
          <w:sz w:val="24"/>
          <w:szCs w:val="24"/>
          <w:highlight w:val="none"/>
        </w:rPr>
        <w:t>有下列情形之一的，招标人将重新招标：</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（1）投标截止时间前，</w:t>
      </w:r>
      <w:r>
        <w:rPr>
          <w:rFonts w:hint="eastAsia" w:ascii="宋体" w:hAnsi="宋体" w:cs="宋体"/>
          <w:b w:val="0"/>
          <w:bCs/>
          <w:color w:val="auto"/>
          <w:sz w:val="24"/>
          <w:szCs w:val="24"/>
          <w:highlight w:val="none"/>
          <w:lang w:val="en-US" w:eastAsia="zh-CN"/>
        </w:rPr>
        <w:t>相应标段</w:t>
      </w:r>
      <w:r>
        <w:rPr>
          <w:rFonts w:hint="eastAsia" w:ascii="宋体" w:hAnsi="宋体" w:eastAsia="宋体" w:cs="宋体"/>
          <w:b w:val="0"/>
          <w:bCs/>
          <w:color w:val="auto"/>
          <w:sz w:val="24"/>
          <w:szCs w:val="24"/>
          <w:highlight w:val="none"/>
        </w:rPr>
        <w:t>投标人少于3个的；</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（2）经评标委员会评审后否决所有投标的</w:t>
      </w:r>
      <w:r>
        <w:rPr>
          <w:rFonts w:hint="eastAsia" w:ascii="宋体" w:hAnsi="宋体" w:cs="宋体"/>
          <w:b w:val="0"/>
          <w:bCs/>
          <w:color w:val="auto"/>
          <w:sz w:val="24"/>
          <w:szCs w:val="24"/>
          <w:highlight w:val="none"/>
          <w:lang w:eastAsia="zh-CN"/>
        </w:rPr>
        <w:t>。</w:t>
      </w:r>
    </w:p>
    <w:p>
      <w:pPr>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b w:val="0"/>
          <w:bCs/>
          <w:color w:val="auto"/>
          <w:sz w:val="24"/>
          <w:szCs w:val="24"/>
          <w:highlight w:val="none"/>
        </w:rPr>
      </w:pPr>
      <w:bookmarkStart w:id="298" w:name="_Toc20134"/>
      <w:r>
        <w:rPr>
          <w:rFonts w:hint="eastAsia" w:ascii="宋体" w:hAnsi="宋体" w:eastAsia="宋体" w:cs="宋体"/>
          <w:b w:val="0"/>
          <w:bCs/>
          <w:color w:val="auto"/>
          <w:sz w:val="24"/>
          <w:szCs w:val="24"/>
          <w:highlight w:val="none"/>
        </w:rPr>
        <w:t>8.2不再招标</w:t>
      </w:r>
      <w:bookmarkEnd w:id="297"/>
      <w:bookmarkEnd w:id="298"/>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重新招标后</w:t>
      </w:r>
      <w:r>
        <w:rPr>
          <w:rFonts w:hint="eastAsia" w:ascii="宋体" w:hAnsi="宋体" w:cs="宋体"/>
          <w:b w:val="0"/>
          <w:bCs/>
          <w:color w:val="auto"/>
          <w:sz w:val="24"/>
          <w:szCs w:val="24"/>
          <w:highlight w:val="none"/>
          <w:lang w:val="en-US" w:eastAsia="zh-CN"/>
        </w:rPr>
        <w:t>相应标段</w:t>
      </w:r>
      <w:r>
        <w:rPr>
          <w:rFonts w:hint="eastAsia" w:ascii="宋体" w:hAnsi="宋体" w:eastAsia="宋体" w:cs="宋体"/>
          <w:b w:val="0"/>
          <w:bCs/>
          <w:color w:val="auto"/>
          <w:sz w:val="24"/>
          <w:szCs w:val="24"/>
          <w:highlight w:val="none"/>
        </w:rPr>
        <w:t>投标人仍少于3个或者所有投标被否决的，属于必须审批或核准的工程建设项目，经原审批或核准部门批准后不再进行招标。</w:t>
      </w:r>
    </w:p>
    <w:p>
      <w:pPr>
        <w:pStyle w:val="5"/>
        <w:pageBreakBefore w:val="0"/>
        <w:kinsoku/>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299" w:name="_Toc12596"/>
      <w:bookmarkStart w:id="300" w:name="_Toc4313"/>
      <w:bookmarkStart w:id="301" w:name="_Toc30728"/>
      <w:bookmarkStart w:id="302" w:name="_Toc25434"/>
      <w:bookmarkStart w:id="303" w:name="_Toc14719"/>
      <w:bookmarkStart w:id="304" w:name="_Toc31375"/>
      <w:r>
        <w:rPr>
          <w:rFonts w:hint="eastAsia" w:ascii="宋体" w:hAnsi="宋体" w:eastAsia="宋体" w:cs="宋体"/>
          <w:color w:val="auto"/>
          <w:sz w:val="24"/>
          <w:szCs w:val="24"/>
          <w:highlight w:val="none"/>
        </w:rPr>
        <w:t>9.纪律和监督</w:t>
      </w:r>
      <w:bookmarkEnd w:id="295"/>
      <w:bookmarkEnd w:id="296"/>
      <w:bookmarkEnd w:id="299"/>
      <w:bookmarkEnd w:id="300"/>
      <w:bookmarkEnd w:id="301"/>
      <w:bookmarkEnd w:id="302"/>
      <w:bookmarkEnd w:id="303"/>
      <w:bookmarkEnd w:id="304"/>
    </w:p>
    <w:p>
      <w:pPr>
        <w:pageBreakBefore w:val="0"/>
        <w:tabs>
          <w:tab w:val="left" w:pos="0"/>
          <w:tab w:val="left" w:pos="312"/>
        </w:tabs>
        <w:kinsoku/>
        <w:overflowPunct/>
        <w:topLinePunct w:val="0"/>
        <w:bidi w:val="0"/>
        <w:spacing w:line="360" w:lineRule="auto"/>
        <w:ind w:left="0" w:leftChars="0" w:firstLine="480" w:firstLineChars="200"/>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9.1对招标人的纪律要求</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招标人</w:t>
      </w:r>
      <w:r>
        <w:rPr>
          <w:rFonts w:hint="eastAsia" w:ascii="宋体" w:hAnsi="宋体" w:eastAsia="宋体" w:cs="宋体"/>
          <w:b w:val="0"/>
          <w:bCs/>
          <w:color w:val="auto"/>
          <w:sz w:val="24"/>
          <w:szCs w:val="24"/>
          <w:highlight w:val="none"/>
          <w:lang w:eastAsia="zh-CN"/>
        </w:rPr>
        <w:t>不得</w:t>
      </w:r>
      <w:r>
        <w:rPr>
          <w:rFonts w:hint="eastAsia" w:ascii="宋体" w:hAnsi="宋体" w:cs="宋体"/>
          <w:b w:val="0"/>
          <w:bCs/>
          <w:color w:val="auto"/>
          <w:sz w:val="24"/>
          <w:szCs w:val="24"/>
          <w:highlight w:val="none"/>
          <w:lang w:eastAsia="zh-CN"/>
        </w:rPr>
        <w:t>泄露</w:t>
      </w:r>
      <w:r>
        <w:rPr>
          <w:rFonts w:hint="eastAsia" w:ascii="宋体" w:hAnsi="宋体" w:eastAsia="宋体" w:cs="宋体"/>
          <w:b w:val="0"/>
          <w:bCs/>
          <w:color w:val="auto"/>
          <w:sz w:val="24"/>
          <w:szCs w:val="24"/>
          <w:highlight w:val="none"/>
        </w:rPr>
        <w:t>招标投标活动中应当保密的情况和资料，不得与投标人串通损害国家利益、社会公共利益或者他人合法权益。</w:t>
      </w:r>
    </w:p>
    <w:p>
      <w:pPr>
        <w:pageBreakBefore w:val="0"/>
        <w:tabs>
          <w:tab w:val="left" w:pos="0"/>
          <w:tab w:val="left" w:pos="312"/>
        </w:tabs>
        <w:kinsoku/>
        <w:overflowPunct/>
        <w:topLinePunct w:val="0"/>
        <w:bidi w:val="0"/>
        <w:spacing w:line="360" w:lineRule="auto"/>
        <w:ind w:left="0" w:leftChars="0" w:firstLine="480" w:firstLineChars="200"/>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9.2对投标人的纪律要求</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ageBreakBefore w:val="0"/>
        <w:tabs>
          <w:tab w:val="left" w:pos="0"/>
          <w:tab w:val="left" w:pos="312"/>
        </w:tabs>
        <w:kinsoku/>
        <w:overflowPunct/>
        <w:topLinePunct w:val="0"/>
        <w:bidi w:val="0"/>
        <w:spacing w:line="360" w:lineRule="auto"/>
        <w:ind w:left="0" w:leftChars="0" w:firstLine="480" w:firstLineChars="200"/>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9.3对评标委员会成员的纪律要求</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评标委员会成员不得收受他人的财物或者其他好处，不得向他人</w:t>
      </w:r>
      <w:r>
        <w:rPr>
          <w:rFonts w:hint="eastAsia" w:ascii="宋体" w:hAnsi="宋体" w:cs="宋体"/>
          <w:b w:val="0"/>
          <w:bCs/>
          <w:color w:val="auto"/>
          <w:sz w:val="24"/>
          <w:szCs w:val="24"/>
          <w:highlight w:val="none"/>
          <w:lang w:eastAsia="zh-CN"/>
        </w:rPr>
        <w:t>透露</w:t>
      </w:r>
      <w:r>
        <w:rPr>
          <w:rFonts w:hint="eastAsia" w:ascii="宋体" w:hAnsi="宋体" w:eastAsia="宋体" w:cs="宋体"/>
          <w:b w:val="0"/>
          <w:bCs/>
          <w:color w:val="auto"/>
          <w:sz w:val="24"/>
          <w:szCs w:val="24"/>
          <w:highlight w:val="none"/>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ageBreakBefore w:val="0"/>
        <w:tabs>
          <w:tab w:val="left" w:pos="0"/>
          <w:tab w:val="left" w:pos="312"/>
        </w:tabs>
        <w:kinsoku/>
        <w:overflowPunct/>
        <w:topLinePunct w:val="0"/>
        <w:bidi w:val="0"/>
        <w:spacing w:line="360" w:lineRule="auto"/>
        <w:ind w:left="0" w:leftChars="0" w:firstLine="480" w:firstLineChars="200"/>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9.4对与评标活动有关的工作人员的纪律要求</w:t>
      </w:r>
    </w:p>
    <w:p>
      <w:pPr>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与评标活动有关的工作人员不得收受他人的财物或者其他好处，不得向他人</w:t>
      </w:r>
      <w:r>
        <w:rPr>
          <w:rFonts w:hint="eastAsia" w:ascii="宋体" w:hAnsi="宋体" w:cs="宋体"/>
          <w:b w:val="0"/>
          <w:bCs/>
          <w:color w:val="auto"/>
          <w:sz w:val="24"/>
          <w:szCs w:val="24"/>
          <w:highlight w:val="none"/>
          <w:lang w:eastAsia="zh-CN"/>
        </w:rPr>
        <w:t>透露</w:t>
      </w:r>
      <w:r>
        <w:rPr>
          <w:rFonts w:hint="eastAsia" w:ascii="宋体" w:hAnsi="宋体" w:eastAsia="宋体" w:cs="宋体"/>
          <w:b w:val="0"/>
          <w:bCs/>
          <w:color w:val="auto"/>
          <w:sz w:val="24"/>
          <w:szCs w:val="24"/>
          <w:highlight w:val="none"/>
        </w:rPr>
        <w:t>对投标文件的评审和比较、中标候选人的推荐情况以及评标有关的其他情况。在评标活动中，与评标活动有关的工作人员不得擅离职守，影响评标程序正常进行。</w:t>
      </w:r>
    </w:p>
    <w:p>
      <w:pPr>
        <w:pageBreakBefore w:val="0"/>
        <w:kinsoku/>
        <w:overflowPunct/>
        <w:topLinePunct w:val="0"/>
        <w:bidi w:val="0"/>
        <w:spacing w:line="360" w:lineRule="auto"/>
        <w:ind w:left="0" w:leftChars="0" w:firstLine="480" w:firstLineChars="200"/>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9.5投诉</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投标人和其他利害关系人认为本次招标活动违反法律、法规和规章规定的，有权向有关行政监督部门投诉。</w:t>
      </w:r>
    </w:p>
    <w:p>
      <w:pPr>
        <w:pStyle w:val="5"/>
        <w:pageBreakBefore w:val="0"/>
        <w:kinsoku/>
        <w:overflowPunct/>
        <w:topLinePunct w:val="0"/>
        <w:bidi w:val="0"/>
        <w:spacing w:before="0" w:after="0" w:line="360" w:lineRule="auto"/>
        <w:textAlignment w:val="auto"/>
        <w:rPr>
          <w:rFonts w:hint="eastAsia" w:ascii="宋体" w:hAnsi="宋体" w:eastAsia="宋体" w:cs="宋体"/>
          <w:color w:val="auto"/>
          <w:sz w:val="24"/>
          <w:szCs w:val="24"/>
          <w:highlight w:val="none"/>
        </w:rPr>
      </w:pPr>
      <w:bookmarkStart w:id="305" w:name="_Toc12391"/>
      <w:bookmarkStart w:id="306" w:name="_Toc23647"/>
      <w:bookmarkStart w:id="307" w:name="_Toc28157"/>
      <w:bookmarkStart w:id="308" w:name="_Toc23068"/>
      <w:bookmarkStart w:id="309" w:name="_Toc20330"/>
      <w:bookmarkStart w:id="310" w:name="_Toc7276"/>
      <w:bookmarkStart w:id="311" w:name="_Toc7308"/>
      <w:bookmarkStart w:id="312" w:name="_Toc13107"/>
      <w:r>
        <w:rPr>
          <w:rFonts w:hint="eastAsia" w:ascii="宋体" w:hAnsi="宋体" w:eastAsia="宋体" w:cs="宋体"/>
          <w:color w:val="auto"/>
          <w:sz w:val="24"/>
          <w:szCs w:val="24"/>
          <w:highlight w:val="none"/>
        </w:rPr>
        <w:t>10.需要补充的其他内容</w:t>
      </w:r>
      <w:bookmarkEnd w:id="305"/>
      <w:bookmarkEnd w:id="306"/>
      <w:bookmarkEnd w:id="307"/>
      <w:bookmarkEnd w:id="308"/>
      <w:bookmarkEnd w:id="309"/>
      <w:bookmarkEnd w:id="310"/>
      <w:bookmarkEnd w:id="311"/>
      <w:bookmarkEnd w:id="312"/>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需要补充的其他内容：见投标人须知前附表。</w:t>
      </w:r>
    </w:p>
    <w:p>
      <w:pPr>
        <w:pageBreakBefore w:val="0"/>
        <w:kinsoku/>
        <w:overflowPunct/>
        <w:topLinePunct w:val="0"/>
        <w:bidi w:val="0"/>
        <w:spacing w:line="360" w:lineRule="auto"/>
        <w:ind w:left="0" w:leftChars="0" w:firstLine="480" w:firstLineChars="200"/>
        <w:textAlignment w:val="auto"/>
        <w:rPr>
          <w:rFonts w:hint="eastAsia" w:ascii="宋体" w:hAnsi="宋体" w:eastAsia="宋体" w:cs="宋体"/>
          <w:b w:val="0"/>
          <w:bCs/>
          <w:color w:val="auto"/>
          <w:sz w:val="24"/>
          <w:szCs w:val="24"/>
          <w:highlight w:val="none"/>
        </w:rPr>
      </w:pPr>
    </w:p>
    <w:p>
      <w:pPr>
        <w:rPr>
          <w:rFonts w:hint="eastAsia"/>
          <w:highlight w:val="none"/>
        </w:rPr>
      </w:pPr>
      <w:bookmarkStart w:id="313" w:name="_Toc18416"/>
      <w:bookmarkStart w:id="314" w:name="_Toc17235"/>
      <w:bookmarkStart w:id="315" w:name="_Toc25361"/>
      <w:bookmarkStart w:id="316" w:name="_Toc22373"/>
      <w:bookmarkStart w:id="317" w:name="_Toc3063"/>
      <w:bookmarkStart w:id="318" w:name="_Toc8023"/>
      <w:bookmarkStart w:id="319" w:name="_Toc24081"/>
      <w:bookmarkStart w:id="320" w:name="_Toc25470"/>
      <w:bookmarkStart w:id="321" w:name="_Toc22608"/>
      <w:bookmarkStart w:id="322" w:name="_Toc26824"/>
      <w:bookmarkStart w:id="323" w:name="_Toc28430_WPSOffice_Level3"/>
      <w:r>
        <w:rPr>
          <w:rFonts w:hint="eastAsia" w:ascii="宋体" w:hAnsi="宋体" w:eastAsia="宋体" w:cs="宋体"/>
          <w:color w:val="auto"/>
          <w:highlight w:val="none"/>
        </w:rPr>
        <w:br w:type="page"/>
      </w:r>
    </w:p>
    <w:p>
      <w:pPr>
        <w:pStyle w:val="4"/>
        <w:pageBreakBefore w:val="0"/>
        <w:numPr>
          <w:ilvl w:val="0"/>
          <w:numId w:val="2"/>
        </w:numPr>
        <w:kinsoku/>
        <w:overflowPunct/>
        <w:bidi w:val="0"/>
        <w:spacing w:after="0" w:line="360" w:lineRule="auto"/>
        <w:jc w:val="center"/>
        <w:rPr>
          <w:rFonts w:hint="eastAsia"/>
          <w:highlight w:val="none"/>
        </w:rPr>
      </w:pPr>
      <w:bookmarkStart w:id="324" w:name="_Toc21521"/>
      <w:r>
        <w:rPr>
          <w:rFonts w:hint="eastAsia" w:ascii="宋体" w:hAnsi="宋体" w:eastAsia="宋体" w:cs="宋体"/>
          <w:color w:val="auto"/>
          <w:highlight w:val="none"/>
        </w:rPr>
        <w:t>评标办法（综合评估法）</w:t>
      </w:r>
      <w:bookmarkEnd w:id="313"/>
      <w:bookmarkEnd w:id="314"/>
      <w:bookmarkEnd w:id="315"/>
      <w:bookmarkEnd w:id="316"/>
      <w:bookmarkEnd w:id="317"/>
      <w:bookmarkEnd w:id="318"/>
      <w:bookmarkEnd w:id="324"/>
    </w:p>
    <w:p>
      <w:pPr>
        <w:pageBreakBefore w:val="0"/>
        <w:kinsoku/>
        <w:overflowPunct/>
        <w:bidi w:val="0"/>
        <w:spacing w:after="0" w:line="360" w:lineRule="auto"/>
        <w:rPr>
          <w:highlight w:val="none"/>
        </w:rPr>
      </w:pPr>
      <w:bookmarkStart w:id="325" w:name="_Toc8454"/>
      <w:bookmarkStart w:id="326" w:name="_Toc20521"/>
      <w:bookmarkStart w:id="327" w:name="_Toc137"/>
      <w:bookmarkStart w:id="328" w:name="_Toc30827"/>
      <w:bookmarkStart w:id="329" w:name="_Toc31733"/>
      <w:bookmarkStart w:id="330" w:name="_Toc20618"/>
      <w:bookmarkStart w:id="331" w:name="_Toc31467"/>
    </w:p>
    <w:p>
      <w:pPr>
        <w:rPr>
          <w:highlight w:val="none"/>
        </w:rPr>
      </w:pPr>
    </w:p>
    <w:bookmarkEnd w:id="319"/>
    <w:bookmarkEnd w:id="320"/>
    <w:bookmarkEnd w:id="321"/>
    <w:bookmarkEnd w:id="322"/>
    <w:bookmarkEnd w:id="323"/>
    <w:bookmarkEnd w:id="325"/>
    <w:bookmarkEnd w:id="326"/>
    <w:bookmarkEnd w:id="327"/>
    <w:bookmarkEnd w:id="328"/>
    <w:bookmarkEnd w:id="329"/>
    <w:bookmarkEnd w:id="330"/>
    <w:bookmarkEnd w:id="331"/>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jc w:val="center"/>
        <w:outlineLvl w:val="0"/>
        <w:rPr>
          <w:rFonts w:hint="default" w:ascii="宋体" w:hAnsi="宋体" w:eastAsia="宋体" w:cs="宋体"/>
          <w:b/>
          <w:bCs/>
          <w:color w:val="auto"/>
          <w:kern w:val="44"/>
          <w:sz w:val="44"/>
          <w:szCs w:val="44"/>
          <w:highlight w:val="none"/>
          <w:lang w:val="en-US" w:eastAsia="zh-CN" w:bidi="ar-SA"/>
        </w:rPr>
      </w:pPr>
      <w:bookmarkStart w:id="332" w:name="_Toc20772"/>
      <w:bookmarkStart w:id="333" w:name="_Toc14764"/>
      <w:r>
        <w:rPr>
          <w:rFonts w:hint="eastAsia" w:ascii="宋体" w:hAnsi="宋体" w:eastAsia="宋体" w:cs="宋体"/>
          <w:b/>
          <w:bCs/>
          <w:color w:val="auto"/>
          <w:kern w:val="44"/>
          <w:sz w:val="44"/>
          <w:szCs w:val="44"/>
          <w:highlight w:val="none"/>
          <w:lang w:val="en-US" w:eastAsia="zh-CN" w:bidi="ar-SA"/>
        </w:rPr>
        <w:t>第</w:t>
      </w:r>
      <w:r>
        <w:rPr>
          <w:rFonts w:hint="eastAsia" w:ascii="宋体" w:hAnsi="宋体" w:cs="宋体"/>
          <w:b/>
          <w:bCs/>
          <w:color w:val="auto"/>
          <w:kern w:val="44"/>
          <w:sz w:val="44"/>
          <w:szCs w:val="44"/>
          <w:highlight w:val="none"/>
          <w:lang w:val="en-US" w:eastAsia="zh-CN" w:bidi="ar-SA"/>
        </w:rPr>
        <w:t>四</w:t>
      </w:r>
      <w:r>
        <w:rPr>
          <w:rFonts w:hint="eastAsia" w:ascii="宋体" w:hAnsi="宋体" w:eastAsia="宋体" w:cs="宋体"/>
          <w:b/>
          <w:bCs/>
          <w:color w:val="auto"/>
          <w:kern w:val="44"/>
          <w:sz w:val="44"/>
          <w:szCs w:val="44"/>
          <w:highlight w:val="none"/>
          <w:lang w:val="en-US" w:eastAsia="zh-CN" w:bidi="ar-SA"/>
        </w:rPr>
        <w:t xml:space="preserve">章 </w:t>
      </w:r>
      <w:r>
        <w:rPr>
          <w:rFonts w:hint="eastAsia" w:ascii="宋体" w:hAnsi="宋体" w:cs="宋体"/>
          <w:b/>
          <w:bCs/>
          <w:color w:val="auto"/>
          <w:kern w:val="44"/>
          <w:sz w:val="44"/>
          <w:szCs w:val="44"/>
          <w:highlight w:val="none"/>
          <w:lang w:val="en-US" w:eastAsia="zh-CN" w:bidi="ar-SA"/>
        </w:rPr>
        <w:t>定标办法</w:t>
      </w:r>
      <w:bookmarkEnd w:id="332"/>
      <w:bookmarkEnd w:id="333"/>
    </w:p>
    <w:bookmarkEnd w:id="197"/>
    <w:bookmarkEnd w:id="198"/>
    <w:bookmarkEnd w:id="199"/>
    <w:bookmarkEnd w:id="200"/>
    <w:bookmarkEnd w:id="201"/>
    <w:bookmarkEnd w:id="202"/>
    <w:bookmarkEnd w:id="203"/>
    <w:bookmarkEnd w:id="204"/>
    <w:bookmarkEnd w:id="205"/>
    <w:bookmarkEnd w:id="206"/>
    <w:bookmarkEnd w:id="207"/>
    <w:p>
      <w:pPr>
        <w:rPr>
          <w:rStyle w:val="53"/>
          <w:rFonts w:hint="eastAsia" w:ascii="Times New Roman" w:hAnsi="Times New Roman" w:eastAsia="宋体" w:cs="Times New Roman"/>
          <w:b/>
          <w:bCs/>
          <w:highlight w:val="none"/>
          <w:lang w:val="en-US" w:eastAsia="zh-CN" w:bidi="ar-SA"/>
        </w:rPr>
      </w:pPr>
      <w:bookmarkStart w:id="334" w:name="_Toc5816"/>
      <w:bookmarkStart w:id="335" w:name="_Toc9418_WPSOffice_Level1"/>
      <w:bookmarkStart w:id="336" w:name="_Toc1351_WPSOffice_Level1"/>
      <w:r>
        <w:rPr>
          <w:rStyle w:val="53"/>
          <w:rFonts w:hint="eastAsia" w:ascii="Times New Roman" w:hAnsi="Times New Roman" w:eastAsia="宋体" w:cs="Times New Roman"/>
          <w:b/>
          <w:bCs/>
          <w:highlight w:val="none"/>
          <w:lang w:val="en-US" w:eastAsia="zh-CN" w:bidi="ar-SA"/>
        </w:rPr>
        <w:br w:type="page"/>
      </w:r>
    </w:p>
    <w:p>
      <w:pPr>
        <w:pStyle w:val="4"/>
        <w:keepNext/>
        <w:keepLines/>
        <w:pageBreakBefore w:val="0"/>
        <w:widowControl w:val="0"/>
        <w:kinsoku/>
        <w:wordWrap/>
        <w:overflowPunct/>
        <w:topLinePunct w:val="0"/>
        <w:autoSpaceDE/>
        <w:autoSpaceDN/>
        <w:bidi w:val="0"/>
        <w:adjustRightInd/>
        <w:snapToGrid/>
        <w:spacing w:before="200" w:after="180" w:line="360" w:lineRule="auto"/>
        <w:jc w:val="center"/>
        <w:textAlignment w:val="auto"/>
        <w:rPr>
          <w:rStyle w:val="53"/>
          <w:rFonts w:hint="default" w:ascii="Times New Roman" w:hAnsi="Times New Roman" w:eastAsia="宋体" w:cs="Times New Roman"/>
          <w:b/>
          <w:bCs/>
          <w:highlight w:val="none"/>
          <w:lang w:val="en-US" w:eastAsia="zh-CN" w:bidi="ar-SA"/>
        </w:rPr>
      </w:pPr>
      <w:r>
        <w:rPr>
          <w:rStyle w:val="53"/>
          <w:rFonts w:hint="eastAsia" w:ascii="Times New Roman" w:hAnsi="Times New Roman" w:eastAsia="宋体" w:cs="Times New Roman"/>
          <w:b/>
          <w:bCs/>
          <w:highlight w:val="none"/>
          <w:lang w:val="en-US" w:eastAsia="zh-CN" w:bidi="ar-SA"/>
        </w:rPr>
        <w:t>第</w:t>
      </w:r>
      <w:r>
        <w:rPr>
          <w:rStyle w:val="53"/>
          <w:rFonts w:hint="eastAsia" w:cs="Times New Roman"/>
          <w:b/>
          <w:bCs/>
          <w:highlight w:val="none"/>
          <w:lang w:val="en-US" w:eastAsia="zh-CN" w:bidi="ar-SA"/>
        </w:rPr>
        <w:t>五</w:t>
      </w:r>
      <w:r>
        <w:rPr>
          <w:rStyle w:val="53"/>
          <w:rFonts w:hint="eastAsia" w:ascii="Times New Roman" w:hAnsi="Times New Roman" w:eastAsia="宋体" w:cs="Times New Roman"/>
          <w:b/>
          <w:bCs/>
          <w:highlight w:val="none"/>
          <w:lang w:val="en-US" w:eastAsia="zh-CN" w:bidi="ar-SA"/>
        </w:rPr>
        <w:t>章  合同条款及格式</w:t>
      </w:r>
      <w:bookmarkEnd w:id="334"/>
    </w:p>
    <w:p>
      <w:pPr>
        <w:spacing w:line="360" w:lineRule="auto"/>
        <w:rPr>
          <w:rFonts w:hint="eastAsia" w:ascii="仿宋_GB2312" w:hAnsi="宋体" w:eastAsia="仿宋_GB2312"/>
          <w:b/>
          <w:bCs/>
          <w:sz w:val="30"/>
          <w:szCs w:val="30"/>
          <w:highlight w:val="none"/>
        </w:rPr>
      </w:pPr>
      <w:r>
        <w:rPr>
          <w:rFonts w:hint="eastAsia" w:ascii="仿宋_GB2312" w:eastAsia="仿宋_GB2312"/>
          <w:b/>
          <w:sz w:val="32"/>
          <w:szCs w:val="32"/>
          <w:highlight w:val="none"/>
        </w:rPr>
        <w:t>（ＧＦ－2012－0202）</w:t>
      </w:r>
    </w:p>
    <w:p>
      <w:pPr>
        <w:spacing w:line="360" w:lineRule="auto"/>
        <w:jc w:val="center"/>
        <w:rPr>
          <w:rFonts w:hint="eastAsia" w:ascii="仿宋_GB2312" w:hAnsi="宋体" w:eastAsia="仿宋_GB2312"/>
          <w:b/>
          <w:bCs/>
          <w:sz w:val="52"/>
          <w:szCs w:val="52"/>
          <w:highlight w:val="none"/>
        </w:rPr>
      </w:pPr>
    </w:p>
    <w:p>
      <w:pPr>
        <w:spacing w:line="360" w:lineRule="auto"/>
        <w:jc w:val="center"/>
        <w:rPr>
          <w:rFonts w:hint="eastAsia" w:ascii="华文中宋" w:hAnsi="华文中宋" w:eastAsia="华文中宋"/>
          <w:b/>
          <w:bCs/>
          <w:sz w:val="48"/>
          <w:szCs w:val="48"/>
          <w:highlight w:val="none"/>
        </w:rPr>
      </w:pPr>
    </w:p>
    <w:p>
      <w:pPr>
        <w:spacing w:line="360" w:lineRule="auto"/>
        <w:jc w:val="center"/>
        <w:rPr>
          <w:rFonts w:hint="eastAsia" w:ascii="华文中宋" w:hAnsi="华文中宋" w:eastAsia="华文中宋"/>
          <w:b/>
          <w:bCs/>
          <w:sz w:val="48"/>
          <w:szCs w:val="48"/>
          <w:highlight w:val="none"/>
        </w:rPr>
      </w:pPr>
    </w:p>
    <w:p>
      <w:pPr>
        <w:spacing w:line="360" w:lineRule="auto"/>
        <w:jc w:val="center"/>
        <w:rPr>
          <w:rFonts w:hint="eastAsia" w:ascii="华文中宋" w:hAnsi="华文中宋" w:eastAsia="华文中宋"/>
          <w:b/>
          <w:bCs/>
          <w:sz w:val="52"/>
          <w:szCs w:val="52"/>
          <w:highlight w:val="none"/>
        </w:rPr>
      </w:pPr>
      <w:r>
        <w:rPr>
          <w:rFonts w:hint="eastAsia" w:ascii="华文中宋" w:hAnsi="华文中宋" w:eastAsia="华文中宋"/>
          <w:b/>
          <w:bCs/>
          <w:sz w:val="52"/>
          <w:szCs w:val="52"/>
          <w:highlight w:val="none"/>
        </w:rPr>
        <w:t>建设工程监理合同</w:t>
      </w:r>
    </w:p>
    <w:p>
      <w:pPr>
        <w:spacing w:line="360" w:lineRule="auto"/>
        <w:jc w:val="center"/>
        <w:rPr>
          <w:rFonts w:hint="eastAsia" w:ascii="华文楷体" w:hAnsi="华文楷体" w:eastAsia="华文楷体"/>
          <w:b/>
          <w:bCs/>
          <w:sz w:val="52"/>
          <w:szCs w:val="52"/>
          <w:highlight w:val="none"/>
        </w:rPr>
      </w:pPr>
      <w:r>
        <w:rPr>
          <w:rFonts w:hint="eastAsia" w:ascii="华文楷体" w:hAnsi="华文楷体" w:eastAsia="华文楷体"/>
          <w:b/>
          <w:bCs/>
          <w:sz w:val="52"/>
          <w:szCs w:val="52"/>
          <w:highlight w:val="none"/>
          <w:lang w:eastAsia="zh-CN"/>
        </w:rPr>
        <w:t>（</w:t>
      </w:r>
      <w:r>
        <w:rPr>
          <w:rFonts w:hint="eastAsia" w:ascii="华文楷体" w:hAnsi="华文楷体" w:eastAsia="华文楷体"/>
          <w:b/>
          <w:bCs/>
          <w:sz w:val="52"/>
          <w:szCs w:val="52"/>
          <w:highlight w:val="none"/>
        </w:rPr>
        <w:t>示范文本</w:t>
      </w:r>
      <w:r>
        <w:rPr>
          <w:rFonts w:hint="eastAsia" w:ascii="华文楷体" w:hAnsi="华文楷体" w:eastAsia="华文楷体"/>
          <w:b/>
          <w:bCs/>
          <w:sz w:val="52"/>
          <w:szCs w:val="52"/>
          <w:highlight w:val="none"/>
          <w:lang w:eastAsia="zh-CN"/>
        </w:rPr>
        <w:t>）</w:t>
      </w:r>
    </w:p>
    <w:p>
      <w:pPr>
        <w:spacing w:line="360" w:lineRule="auto"/>
        <w:jc w:val="center"/>
        <w:rPr>
          <w:rFonts w:hint="eastAsia" w:ascii="仿宋_GB2312" w:hAnsi="宋体" w:eastAsia="仿宋_GB2312"/>
          <w:bCs/>
          <w:sz w:val="48"/>
          <w:szCs w:val="48"/>
          <w:highlight w:val="none"/>
        </w:rPr>
      </w:pPr>
    </w:p>
    <w:p>
      <w:pPr>
        <w:spacing w:line="360" w:lineRule="auto"/>
        <w:jc w:val="center"/>
        <w:rPr>
          <w:rFonts w:hint="eastAsia" w:ascii="仿宋_GB2312" w:hAnsi="宋体" w:eastAsia="仿宋_GB2312"/>
          <w:b/>
          <w:bCs/>
          <w:sz w:val="24"/>
          <w:highlight w:val="none"/>
        </w:rPr>
      </w:pPr>
    </w:p>
    <w:p>
      <w:pPr>
        <w:spacing w:line="360" w:lineRule="auto"/>
        <w:jc w:val="center"/>
        <w:rPr>
          <w:rFonts w:hint="eastAsia" w:ascii="仿宋_GB2312" w:hAnsi="宋体" w:eastAsia="仿宋_GB2312"/>
          <w:b/>
          <w:bCs/>
          <w:sz w:val="24"/>
          <w:highlight w:val="none"/>
        </w:rPr>
      </w:pPr>
    </w:p>
    <w:p>
      <w:pPr>
        <w:spacing w:line="360" w:lineRule="auto"/>
        <w:jc w:val="center"/>
        <w:rPr>
          <w:rFonts w:hint="eastAsia" w:ascii="仿宋_GB2312" w:hAnsi="宋体" w:eastAsia="仿宋_GB2312"/>
          <w:b/>
          <w:bCs/>
          <w:sz w:val="24"/>
          <w:highlight w:val="none"/>
        </w:rPr>
      </w:pPr>
    </w:p>
    <w:p>
      <w:pPr>
        <w:spacing w:line="360" w:lineRule="auto"/>
        <w:jc w:val="center"/>
        <w:rPr>
          <w:rFonts w:hint="eastAsia" w:ascii="仿宋_GB2312" w:hAnsi="宋体" w:eastAsia="仿宋_GB2312"/>
          <w:b/>
          <w:bCs/>
          <w:sz w:val="24"/>
          <w:highlight w:val="none"/>
        </w:rPr>
      </w:pPr>
    </w:p>
    <w:p>
      <w:pPr>
        <w:spacing w:line="360" w:lineRule="auto"/>
        <w:jc w:val="center"/>
        <w:rPr>
          <w:rFonts w:hint="eastAsia" w:ascii="仿宋_GB2312" w:hAnsi="宋体" w:eastAsia="仿宋_GB2312"/>
          <w:b/>
          <w:bCs/>
          <w:sz w:val="24"/>
          <w:highlight w:val="none"/>
        </w:rPr>
      </w:pPr>
    </w:p>
    <w:p>
      <w:pPr>
        <w:spacing w:line="360" w:lineRule="auto"/>
        <w:jc w:val="center"/>
        <w:rPr>
          <w:rFonts w:hint="eastAsia" w:ascii="华文中宋" w:hAnsi="华文中宋" w:eastAsia="华文中宋"/>
          <w:b/>
          <w:highlight w:val="none"/>
        </w:rPr>
      </w:pPr>
      <w:r>
        <w:rPr>
          <w:rFonts w:hint="eastAsia" w:ascii="仿宋_GB2312" w:hAnsi="宋体" w:eastAsia="仿宋_GB2312"/>
          <w:b/>
          <w:bCs/>
          <w:sz w:val="32"/>
          <w:szCs w:val="32"/>
          <w:highlight w:val="none"/>
        </w:rPr>
        <w:t xml:space="preserve">  </w:t>
      </w:r>
      <w:r>
        <w:rPr>
          <w:rFonts w:hint="eastAsia" w:ascii="华文中宋" w:hAnsi="华文中宋" w:eastAsia="华文中宋"/>
          <w:b/>
          <w:bCs/>
          <w:sz w:val="32"/>
          <w:szCs w:val="32"/>
          <w:highlight w:val="none"/>
        </w:rPr>
        <w:t>住房和城乡建设部</w:t>
      </w:r>
    </w:p>
    <w:p>
      <w:pPr>
        <w:spacing w:line="360" w:lineRule="auto"/>
        <w:jc w:val="center"/>
        <w:rPr>
          <w:rFonts w:hint="eastAsia" w:ascii="华文中宋" w:hAnsi="华文中宋" w:eastAsia="华文中宋"/>
          <w:b/>
          <w:sz w:val="32"/>
          <w:szCs w:val="32"/>
          <w:highlight w:val="none"/>
        </w:rPr>
      </w:pPr>
      <w:r>
        <w:rPr>
          <w:rFonts w:hint="eastAsia" w:ascii="华文中宋" w:hAnsi="华文中宋" w:eastAsia="华文中宋"/>
          <w:b/>
          <w:highlight w:val="none"/>
        </w:rPr>
        <w:t xml:space="preserve">                                                          </w:t>
      </w:r>
      <w:r>
        <w:rPr>
          <w:rFonts w:hint="eastAsia" w:ascii="华文中宋" w:hAnsi="华文中宋" w:eastAsia="华文中宋"/>
          <w:b/>
          <w:sz w:val="32"/>
          <w:szCs w:val="32"/>
          <w:highlight w:val="none"/>
        </w:rPr>
        <w:t>制定</w:t>
      </w:r>
    </w:p>
    <w:p>
      <w:pPr>
        <w:spacing w:line="360" w:lineRule="auto"/>
        <w:jc w:val="center"/>
        <w:rPr>
          <w:rFonts w:hint="eastAsia" w:ascii="华文中宋" w:hAnsi="华文中宋" w:eastAsia="华文中宋"/>
          <w:b/>
          <w:highlight w:val="none"/>
        </w:rPr>
      </w:pPr>
      <w:r>
        <w:rPr>
          <w:rFonts w:hint="eastAsia" w:ascii="华文中宋" w:hAnsi="华文中宋" w:eastAsia="华文中宋"/>
          <w:b/>
          <w:bCs/>
          <w:sz w:val="32"/>
          <w:szCs w:val="32"/>
          <w:highlight w:val="none"/>
        </w:rPr>
        <w:t xml:space="preserve">   国家工商行政管理总局</w:t>
      </w:r>
    </w:p>
    <w:p>
      <w:pPr>
        <w:spacing w:line="360" w:lineRule="auto"/>
        <w:jc w:val="center"/>
        <w:rPr>
          <w:rFonts w:hint="eastAsia" w:ascii="华文中宋" w:hAnsi="华文中宋" w:eastAsia="华文中宋"/>
          <w:b/>
          <w:bCs/>
          <w:sz w:val="24"/>
          <w:highlight w:val="none"/>
        </w:rPr>
      </w:pPr>
    </w:p>
    <w:p>
      <w:pPr>
        <w:spacing w:line="360" w:lineRule="auto"/>
        <w:jc w:val="center"/>
        <w:rPr>
          <w:rFonts w:hint="eastAsia" w:ascii="仿宋_GB2312" w:hAnsi="宋体" w:eastAsia="仿宋_GB2312"/>
          <w:b/>
          <w:bCs/>
          <w:sz w:val="32"/>
          <w:szCs w:val="32"/>
          <w:highlight w:val="none"/>
        </w:rPr>
      </w:pPr>
      <w:r>
        <w:rPr>
          <w:rFonts w:hint="eastAsia" w:ascii="华文中宋" w:hAnsi="华文中宋" w:eastAsia="华文中宋"/>
          <w:b/>
          <w:bCs/>
          <w:sz w:val="32"/>
          <w:szCs w:val="32"/>
          <w:highlight w:val="none"/>
        </w:rPr>
        <w:t xml:space="preserve"> </w:t>
      </w:r>
    </w:p>
    <w:p>
      <w:pPr>
        <w:tabs>
          <w:tab w:val="left" w:pos="3120"/>
        </w:tabs>
        <w:spacing w:line="360" w:lineRule="auto"/>
        <w:ind w:firstLine="2643" w:firstLineChars="600"/>
        <w:rPr>
          <w:rFonts w:hint="eastAsia" w:ascii="华文中宋" w:hAnsi="华文中宋" w:eastAsia="华文中宋"/>
          <w:b/>
          <w:bCs/>
          <w:sz w:val="44"/>
          <w:szCs w:val="44"/>
          <w:highlight w:val="none"/>
        </w:rPr>
      </w:pPr>
      <w:r>
        <w:rPr>
          <w:rFonts w:hint="eastAsia" w:ascii="华文中宋" w:hAnsi="华文中宋" w:eastAsia="华文中宋"/>
          <w:b/>
          <w:bCs/>
          <w:sz w:val="44"/>
          <w:szCs w:val="44"/>
          <w:highlight w:val="none"/>
        </w:rPr>
        <w:t>第一部分  协议书</w:t>
      </w:r>
    </w:p>
    <w:p>
      <w:pPr>
        <w:adjustRightInd w:val="0"/>
        <w:snapToGrid w:val="0"/>
        <w:spacing w:line="360" w:lineRule="auto"/>
        <w:ind w:firstLine="326" w:firstLineChars="250"/>
        <w:rPr>
          <w:rFonts w:hint="eastAsia" w:ascii="仿宋_GB2312" w:hAnsi="宋体" w:eastAsia="仿宋_GB2312"/>
          <w:b/>
          <w:sz w:val="13"/>
          <w:szCs w:val="13"/>
          <w:highlight w:val="none"/>
        </w:rPr>
      </w:pPr>
    </w:p>
    <w:p>
      <w:pPr>
        <w:adjustRightInd w:val="0"/>
        <w:snapToGrid w:val="0"/>
        <w:spacing w:line="360" w:lineRule="auto"/>
        <w:ind w:firstLine="643" w:firstLineChars="200"/>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委托人（全称）：</w:t>
      </w:r>
      <w:r>
        <w:rPr>
          <w:rFonts w:hint="eastAsia" w:ascii="仿宋_GB2312" w:hAnsi="宋体" w:eastAsia="仿宋_GB2312"/>
          <w:b/>
          <w:sz w:val="32"/>
          <w:szCs w:val="32"/>
          <w:highlight w:val="none"/>
          <w:u w:val="single"/>
        </w:rPr>
        <w:t xml:space="preserve">                                      </w:t>
      </w:r>
    </w:p>
    <w:p>
      <w:pPr>
        <w:adjustRightInd w:val="0"/>
        <w:snapToGrid w:val="0"/>
        <w:spacing w:line="360" w:lineRule="auto"/>
        <w:ind w:firstLine="643" w:firstLineChars="200"/>
        <w:rPr>
          <w:rFonts w:hint="eastAsia" w:ascii="仿宋_GB2312" w:hAnsi="宋体" w:eastAsia="仿宋_GB2312"/>
          <w:sz w:val="32"/>
          <w:szCs w:val="32"/>
          <w:highlight w:val="none"/>
        </w:rPr>
      </w:pPr>
      <w:r>
        <w:rPr>
          <w:rFonts w:hint="eastAsia" w:ascii="仿宋_GB2312" w:hAnsi="宋体" w:eastAsia="仿宋_GB2312"/>
          <w:b/>
          <w:sz w:val="32"/>
          <w:szCs w:val="32"/>
          <w:highlight w:val="none"/>
        </w:rPr>
        <w:t>监理人（全称）：</w:t>
      </w:r>
      <w:r>
        <w:rPr>
          <w:rFonts w:hint="eastAsia" w:ascii="仿宋_GB2312" w:hAnsi="宋体" w:eastAsia="仿宋_GB2312"/>
          <w:b/>
          <w:sz w:val="32"/>
          <w:szCs w:val="32"/>
          <w:highlight w:val="none"/>
          <w:u w:val="single"/>
        </w:rPr>
        <w:t xml:space="preserve">                                   </w:t>
      </w:r>
      <w:r>
        <w:rPr>
          <w:rFonts w:hint="eastAsia" w:ascii="仿宋_GB2312" w:hAnsi="宋体" w:eastAsia="仿宋_GB2312"/>
          <w:sz w:val="32"/>
          <w:szCs w:val="32"/>
          <w:highlight w:val="none"/>
          <w:u w:val="single"/>
        </w:rPr>
        <w:t xml:space="preserve">   </w:t>
      </w:r>
    </w:p>
    <w:p>
      <w:pPr>
        <w:adjustRightInd w:val="0"/>
        <w:snapToGrid w:val="0"/>
        <w:spacing w:line="360" w:lineRule="auto"/>
        <w:ind w:firstLine="640" w:firstLineChars="200"/>
        <w:rPr>
          <w:rFonts w:hint="eastAsia" w:ascii="仿宋_GB2312" w:hAnsi="宋体" w:eastAsia="仿宋_GB2312"/>
          <w:sz w:val="32"/>
          <w:szCs w:val="32"/>
          <w:highlight w:val="none"/>
          <w:u w:val="single"/>
        </w:rPr>
      </w:pPr>
      <w:r>
        <w:rPr>
          <w:rFonts w:hint="eastAsia" w:ascii="仿宋_GB2312" w:hAnsi="宋体" w:eastAsia="仿宋_GB2312"/>
          <w:sz w:val="32"/>
          <w:szCs w:val="32"/>
          <w:highlight w:val="none"/>
        </w:rPr>
        <w:t>根据《中华人民共和国合同法》、《中华人民共和国建筑法》及其他有关法律、法规，遵循平等、自愿、公平和诚信的原则，双方就下述工程委托监理与相关服务事项协商一致，订立本合同。</w:t>
      </w:r>
    </w:p>
    <w:p>
      <w:pPr>
        <w:spacing w:line="360" w:lineRule="auto"/>
        <w:ind w:firstLine="636" w:firstLineChars="198"/>
        <w:outlineLvl w:val="0"/>
        <w:rPr>
          <w:rFonts w:hint="eastAsia" w:ascii="仿宋_GB2312" w:hAnsi="华文楷体" w:eastAsia="仿宋_GB2312"/>
          <w:b/>
          <w:sz w:val="32"/>
          <w:szCs w:val="32"/>
          <w:highlight w:val="none"/>
        </w:rPr>
      </w:pPr>
      <w:bookmarkStart w:id="337" w:name="_Toc30837"/>
      <w:r>
        <w:rPr>
          <w:rFonts w:hint="eastAsia" w:ascii="仿宋_GB2312" w:hAnsi="华文楷体" w:eastAsia="仿宋_GB2312"/>
          <w:b/>
          <w:sz w:val="32"/>
          <w:szCs w:val="32"/>
          <w:highlight w:val="none"/>
        </w:rPr>
        <w:t>一、工程概况</w:t>
      </w:r>
      <w:bookmarkEnd w:id="337"/>
    </w:p>
    <w:p>
      <w:pPr>
        <w:adjustRightInd w:val="0"/>
        <w:snapToGrid w:val="0"/>
        <w:spacing w:line="360" w:lineRule="auto"/>
        <w:ind w:firstLine="633" w:firstLineChars="198"/>
        <w:rPr>
          <w:rFonts w:hint="eastAsia" w:ascii="仿宋_GB2312" w:eastAsia="仿宋_GB2312"/>
          <w:sz w:val="24"/>
          <w:highlight w:val="none"/>
        </w:rPr>
      </w:pPr>
      <w:r>
        <w:rPr>
          <w:rFonts w:hint="eastAsia" w:ascii="仿宋_GB2312" w:eastAsia="仿宋_GB2312"/>
          <w:sz w:val="32"/>
          <w:szCs w:val="32"/>
          <w:highlight w:val="none"/>
        </w:rPr>
        <w:t xml:space="preserve">1. </w:t>
      </w:r>
      <w:r>
        <w:rPr>
          <w:rFonts w:hint="eastAsia" w:ascii="仿宋_GB2312" w:hAnsi="宋体" w:eastAsia="仿宋_GB2312"/>
          <w:sz w:val="32"/>
          <w:szCs w:val="32"/>
          <w:highlight w:val="none"/>
        </w:rPr>
        <w:t>工程名称：</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w:t>
      </w:r>
    </w:p>
    <w:p>
      <w:pPr>
        <w:adjustRightInd w:val="0"/>
        <w:snapToGrid w:val="0"/>
        <w:spacing w:line="360" w:lineRule="auto"/>
        <w:ind w:firstLine="633" w:firstLineChars="198"/>
        <w:rPr>
          <w:rFonts w:hint="eastAsia" w:ascii="仿宋_GB2312" w:eastAsia="仿宋_GB2312"/>
          <w:sz w:val="24"/>
          <w:highlight w:val="none"/>
        </w:rPr>
      </w:pPr>
      <w:r>
        <w:rPr>
          <w:rFonts w:hint="eastAsia" w:ascii="仿宋_GB2312" w:eastAsia="仿宋_GB2312"/>
          <w:sz w:val="32"/>
          <w:szCs w:val="32"/>
          <w:highlight w:val="none"/>
        </w:rPr>
        <w:t xml:space="preserve">2. </w:t>
      </w:r>
      <w:r>
        <w:rPr>
          <w:rFonts w:hint="eastAsia" w:ascii="仿宋_GB2312" w:hAnsi="宋体" w:eastAsia="仿宋_GB2312"/>
          <w:sz w:val="32"/>
          <w:szCs w:val="32"/>
          <w:highlight w:val="none"/>
        </w:rPr>
        <w:t>工程地点：</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w:t>
      </w:r>
    </w:p>
    <w:p>
      <w:pPr>
        <w:adjustRightInd w:val="0"/>
        <w:snapToGrid w:val="0"/>
        <w:spacing w:line="360" w:lineRule="auto"/>
        <w:ind w:firstLine="633" w:firstLineChars="198"/>
        <w:rPr>
          <w:rFonts w:hint="eastAsia" w:ascii="仿宋_GB2312" w:eastAsia="仿宋_GB2312"/>
          <w:sz w:val="24"/>
          <w:highlight w:val="none"/>
        </w:rPr>
      </w:pPr>
      <w:r>
        <w:rPr>
          <w:rFonts w:hint="eastAsia" w:ascii="仿宋_GB2312" w:eastAsia="仿宋_GB2312"/>
          <w:sz w:val="32"/>
          <w:szCs w:val="32"/>
          <w:highlight w:val="none"/>
        </w:rPr>
        <w:t xml:space="preserve">3. </w:t>
      </w:r>
      <w:r>
        <w:rPr>
          <w:rFonts w:hint="eastAsia" w:ascii="仿宋_GB2312" w:hAnsi="宋体" w:eastAsia="仿宋_GB2312"/>
          <w:sz w:val="32"/>
          <w:szCs w:val="32"/>
          <w:highlight w:val="none"/>
        </w:rPr>
        <w:t>工程规模：</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w:t>
      </w:r>
    </w:p>
    <w:p>
      <w:pPr>
        <w:adjustRightInd w:val="0"/>
        <w:snapToGrid w:val="0"/>
        <w:spacing w:line="360" w:lineRule="auto"/>
        <w:ind w:firstLine="633" w:firstLineChars="198"/>
        <w:jc w:val="left"/>
        <w:rPr>
          <w:rFonts w:hint="eastAsia" w:ascii="仿宋_GB2312" w:hAnsi="宋体" w:eastAsia="仿宋_GB2312"/>
          <w:sz w:val="24"/>
          <w:highlight w:val="none"/>
        </w:rPr>
      </w:pPr>
      <w:r>
        <w:rPr>
          <w:rFonts w:hint="eastAsia" w:ascii="仿宋_GB2312" w:eastAsia="仿宋_GB2312"/>
          <w:sz w:val="32"/>
          <w:szCs w:val="32"/>
          <w:highlight w:val="none"/>
        </w:rPr>
        <w:t xml:space="preserve">4. </w:t>
      </w:r>
      <w:r>
        <w:rPr>
          <w:rFonts w:hint="eastAsia" w:ascii="仿宋_GB2312" w:hAnsi="宋体" w:eastAsia="仿宋_GB2312"/>
          <w:sz w:val="32"/>
          <w:szCs w:val="32"/>
          <w:highlight w:val="none"/>
        </w:rPr>
        <w:t>工程</w:t>
      </w:r>
      <w:r>
        <w:rPr>
          <w:rFonts w:hint="eastAsia" w:ascii="仿宋_GB2312" w:hAnsi="宋体" w:eastAsia="仿宋_GB2312"/>
          <w:kern w:val="0"/>
          <w:sz w:val="32"/>
          <w:szCs w:val="32"/>
          <w:highlight w:val="none"/>
        </w:rPr>
        <w:t>概算投资</w:t>
      </w:r>
      <w:r>
        <w:rPr>
          <w:rFonts w:hint="eastAsia" w:ascii="仿宋_GB2312" w:hAnsi="宋体" w:eastAsia="仿宋_GB2312" w:cs="宋体"/>
          <w:kern w:val="0"/>
          <w:sz w:val="32"/>
          <w:szCs w:val="32"/>
          <w:highlight w:val="none"/>
        </w:rPr>
        <w:t>额或建筑安装工程费</w:t>
      </w:r>
      <w:r>
        <w:rPr>
          <w:rFonts w:hint="eastAsia" w:ascii="仿宋_GB2312" w:hAnsi="宋体" w:eastAsia="仿宋_GB2312"/>
          <w:sz w:val="32"/>
          <w:szCs w:val="32"/>
          <w:highlight w:val="none"/>
        </w:rPr>
        <w:t>：</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w:t>
      </w:r>
    </w:p>
    <w:p>
      <w:pPr>
        <w:spacing w:line="360" w:lineRule="auto"/>
        <w:ind w:firstLine="636" w:firstLineChars="198"/>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二、词语限定</w:t>
      </w:r>
    </w:p>
    <w:p>
      <w:pPr>
        <w:adjustRightInd w:val="0"/>
        <w:snapToGrid w:val="0"/>
        <w:spacing w:line="360" w:lineRule="auto"/>
        <w:ind w:firstLine="633" w:firstLineChars="198"/>
        <w:rPr>
          <w:rFonts w:hint="eastAsia" w:ascii="仿宋_GB2312" w:hAnsi="宋体" w:eastAsia="仿宋_GB2312"/>
          <w:sz w:val="32"/>
          <w:szCs w:val="32"/>
          <w:highlight w:val="none"/>
        </w:rPr>
      </w:pPr>
      <w:r>
        <w:rPr>
          <w:rFonts w:hint="eastAsia" w:ascii="仿宋_GB2312" w:hAnsi="宋体" w:eastAsia="仿宋_GB2312"/>
          <w:sz w:val="32"/>
          <w:szCs w:val="32"/>
          <w:highlight w:val="none"/>
        </w:rPr>
        <w:t>协议书中相关词语的含义与通用条件中的定义与解释相同。</w:t>
      </w:r>
    </w:p>
    <w:p>
      <w:pPr>
        <w:spacing w:line="360" w:lineRule="auto"/>
        <w:ind w:firstLine="636" w:firstLineChars="198"/>
        <w:outlineLvl w:val="0"/>
        <w:rPr>
          <w:rFonts w:hint="eastAsia" w:ascii="仿宋_GB2312" w:hAnsi="宋体" w:eastAsia="仿宋_GB2312"/>
          <w:b/>
          <w:sz w:val="32"/>
          <w:szCs w:val="32"/>
          <w:highlight w:val="none"/>
        </w:rPr>
      </w:pPr>
      <w:bookmarkStart w:id="338" w:name="_Toc13827"/>
      <w:r>
        <w:rPr>
          <w:rFonts w:hint="eastAsia" w:ascii="仿宋_GB2312" w:hAnsi="宋体" w:eastAsia="仿宋_GB2312"/>
          <w:b/>
          <w:sz w:val="32"/>
          <w:szCs w:val="32"/>
          <w:highlight w:val="none"/>
        </w:rPr>
        <w:t>三、组成本合同的文件</w:t>
      </w:r>
      <w:bookmarkEnd w:id="338"/>
    </w:p>
    <w:p>
      <w:pPr>
        <w:adjustRightInd w:val="0"/>
        <w:snapToGrid w:val="0"/>
        <w:spacing w:line="360" w:lineRule="auto"/>
        <w:ind w:firstLine="633" w:firstLineChars="198"/>
        <w:rPr>
          <w:rFonts w:hint="eastAsia" w:ascii="仿宋_GB2312" w:eastAsia="仿宋_GB2312"/>
          <w:sz w:val="24"/>
          <w:highlight w:val="none"/>
        </w:rPr>
      </w:pPr>
      <w:r>
        <w:rPr>
          <w:rFonts w:hint="eastAsia" w:ascii="仿宋_GB2312" w:eastAsia="仿宋_GB2312"/>
          <w:sz w:val="32"/>
          <w:szCs w:val="32"/>
          <w:highlight w:val="none"/>
        </w:rPr>
        <w:t xml:space="preserve">1. </w:t>
      </w:r>
      <w:r>
        <w:rPr>
          <w:rFonts w:hint="eastAsia" w:ascii="仿宋_GB2312" w:hAnsi="宋体" w:eastAsia="仿宋_GB2312"/>
          <w:sz w:val="32"/>
          <w:szCs w:val="32"/>
          <w:highlight w:val="none"/>
        </w:rPr>
        <w:t>协议书；</w:t>
      </w:r>
    </w:p>
    <w:p>
      <w:pPr>
        <w:adjustRightInd w:val="0"/>
        <w:snapToGrid w:val="0"/>
        <w:spacing w:line="360" w:lineRule="auto"/>
        <w:ind w:firstLine="633" w:firstLineChars="198"/>
        <w:rPr>
          <w:rFonts w:hint="eastAsia" w:ascii="仿宋_GB2312" w:hAnsi="宋体" w:eastAsia="仿宋_GB2312"/>
          <w:sz w:val="32"/>
          <w:szCs w:val="32"/>
          <w:highlight w:val="none"/>
        </w:rPr>
      </w:pPr>
      <w:r>
        <w:rPr>
          <w:rFonts w:hint="eastAsia" w:ascii="仿宋_GB2312" w:eastAsia="仿宋_GB2312"/>
          <w:sz w:val="32"/>
          <w:szCs w:val="32"/>
          <w:highlight w:val="none"/>
        </w:rPr>
        <w:t xml:space="preserve">2. </w:t>
      </w:r>
      <w:r>
        <w:rPr>
          <w:rFonts w:hint="eastAsia" w:ascii="仿宋_GB2312" w:hAnsi="宋体" w:eastAsia="仿宋_GB2312"/>
          <w:sz w:val="32"/>
          <w:szCs w:val="32"/>
          <w:highlight w:val="none"/>
        </w:rPr>
        <w:t>中标通知书（适用于招标工程）或委托书（适用于非招标工程）；</w:t>
      </w:r>
    </w:p>
    <w:p>
      <w:pPr>
        <w:adjustRightInd w:val="0"/>
        <w:snapToGrid w:val="0"/>
        <w:spacing w:line="360" w:lineRule="auto"/>
        <w:ind w:firstLine="633" w:firstLineChars="198"/>
        <w:rPr>
          <w:rFonts w:hint="eastAsia" w:ascii="仿宋_GB2312" w:hAnsi="宋体" w:eastAsia="仿宋_GB2312"/>
          <w:sz w:val="32"/>
          <w:szCs w:val="32"/>
          <w:highlight w:val="none"/>
        </w:rPr>
      </w:pPr>
      <w:r>
        <w:rPr>
          <w:rFonts w:hint="eastAsia" w:ascii="仿宋_GB2312" w:hAnsi="宋体" w:eastAsia="仿宋_GB2312"/>
          <w:sz w:val="32"/>
          <w:szCs w:val="32"/>
          <w:highlight w:val="none"/>
        </w:rPr>
        <w:t>3. 投标文件（适用于招标工程）或监理与相关服务建议书（适用于非招标工程）；</w:t>
      </w:r>
    </w:p>
    <w:p>
      <w:pPr>
        <w:adjustRightInd w:val="0"/>
        <w:snapToGrid w:val="0"/>
        <w:spacing w:line="360" w:lineRule="auto"/>
        <w:rPr>
          <w:rFonts w:hint="eastAsia" w:ascii="仿宋_GB2312" w:eastAsia="仿宋_GB2312"/>
          <w:sz w:val="32"/>
          <w:szCs w:val="32"/>
          <w:highlight w:val="none"/>
        </w:rPr>
      </w:pPr>
      <w:r>
        <w:rPr>
          <w:rFonts w:hint="eastAsia" w:ascii="仿宋_GB2312" w:eastAsia="仿宋_GB2312"/>
          <w:sz w:val="32"/>
          <w:szCs w:val="32"/>
          <w:highlight w:val="none"/>
        </w:rPr>
        <w:t xml:space="preserve">    4. </w:t>
      </w:r>
      <w:r>
        <w:rPr>
          <w:rFonts w:hint="eastAsia" w:ascii="仿宋_GB2312" w:hAnsi="宋体" w:eastAsia="仿宋_GB2312"/>
          <w:sz w:val="32"/>
          <w:szCs w:val="32"/>
          <w:highlight w:val="none"/>
        </w:rPr>
        <w:t>专用条件；</w:t>
      </w:r>
    </w:p>
    <w:p>
      <w:pPr>
        <w:adjustRightInd w:val="0"/>
        <w:snapToGrid w:val="0"/>
        <w:spacing w:line="360" w:lineRule="auto"/>
        <w:ind w:firstLine="633" w:firstLineChars="198"/>
        <w:rPr>
          <w:rFonts w:hint="eastAsia" w:ascii="仿宋_GB2312" w:eastAsia="仿宋_GB2312"/>
          <w:sz w:val="32"/>
          <w:szCs w:val="32"/>
          <w:highlight w:val="none"/>
        </w:rPr>
      </w:pPr>
      <w:r>
        <w:rPr>
          <w:rFonts w:hint="eastAsia" w:ascii="仿宋_GB2312" w:eastAsia="仿宋_GB2312"/>
          <w:sz w:val="32"/>
          <w:szCs w:val="32"/>
          <w:highlight w:val="none"/>
        </w:rPr>
        <w:t xml:space="preserve">5. </w:t>
      </w:r>
      <w:r>
        <w:rPr>
          <w:rFonts w:hint="eastAsia" w:ascii="仿宋_GB2312" w:hAnsi="宋体" w:eastAsia="仿宋_GB2312"/>
          <w:sz w:val="32"/>
          <w:szCs w:val="32"/>
          <w:highlight w:val="none"/>
        </w:rPr>
        <w:t>通用条件；</w:t>
      </w:r>
    </w:p>
    <w:p>
      <w:pPr>
        <w:adjustRightInd w:val="0"/>
        <w:snapToGrid w:val="0"/>
        <w:spacing w:line="360" w:lineRule="auto"/>
        <w:ind w:firstLine="633" w:firstLineChars="198"/>
        <w:rPr>
          <w:rFonts w:hint="eastAsia" w:ascii="仿宋_GB2312" w:eastAsia="仿宋_GB2312"/>
          <w:sz w:val="32"/>
          <w:szCs w:val="32"/>
          <w:highlight w:val="none"/>
        </w:rPr>
      </w:pPr>
      <w:r>
        <w:rPr>
          <w:rFonts w:hint="eastAsia" w:ascii="仿宋_GB2312" w:eastAsia="仿宋_GB2312"/>
          <w:sz w:val="32"/>
          <w:szCs w:val="32"/>
          <w:highlight w:val="none"/>
        </w:rPr>
        <w:t>6.</w:t>
      </w:r>
      <w:r>
        <w:rPr>
          <w:rFonts w:hint="eastAsia" w:ascii="仿宋_GB2312" w:hAnsi="宋体" w:eastAsia="仿宋_GB2312"/>
          <w:sz w:val="32"/>
          <w:szCs w:val="32"/>
          <w:highlight w:val="none"/>
        </w:rPr>
        <w:t xml:space="preserve"> 附录，即：</w:t>
      </w:r>
    </w:p>
    <w:p>
      <w:pPr>
        <w:adjustRightInd w:val="0"/>
        <w:snapToGrid w:val="0"/>
        <w:spacing w:line="360" w:lineRule="auto"/>
        <w:ind w:firstLine="633" w:firstLineChars="198"/>
        <w:rPr>
          <w:rFonts w:hint="eastAsia" w:ascii="仿宋_GB2312" w:eastAsia="仿宋_GB2312"/>
          <w:sz w:val="32"/>
          <w:szCs w:val="32"/>
          <w:highlight w:val="none"/>
        </w:rPr>
      </w:pPr>
      <w:r>
        <w:rPr>
          <w:rFonts w:hint="eastAsia" w:ascii="仿宋_GB2312" w:hAnsi="宋体" w:eastAsia="仿宋_GB2312"/>
          <w:sz w:val="32"/>
          <w:szCs w:val="32"/>
          <w:highlight w:val="none"/>
        </w:rPr>
        <w:t>附录</w:t>
      </w:r>
      <w:r>
        <w:rPr>
          <w:rFonts w:hint="eastAsia" w:ascii="仿宋_GB2312" w:eastAsia="仿宋_GB2312"/>
          <w:sz w:val="32"/>
          <w:szCs w:val="32"/>
          <w:highlight w:val="none"/>
        </w:rPr>
        <w:t xml:space="preserve">A  </w:t>
      </w:r>
      <w:r>
        <w:rPr>
          <w:rFonts w:hint="eastAsia" w:ascii="仿宋_GB2312" w:hAnsi="宋体" w:eastAsia="仿宋_GB2312"/>
          <w:sz w:val="32"/>
          <w:szCs w:val="32"/>
          <w:highlight w:val="none"/>
        </w:rPr>
        <w:t>相关服务的范围和内容</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附录</w:t>
      </w:r>
      <w:r>
        <w:rPr>
          <w:rFonts w:hint="eastAsia" w:ascii="仿宋_GB2312" w:eastAsia="仿宋_GB2312"/>
          <w:sz w:val="32"/>
          <w:szCs w:val="32"/>
          <w:highlight w:val="none"/>
        </w:rPr>
        <w:t xml:space="preserve">B  </w:t>
      </w:r>
      <w:r>
        <w:rPr>
          <w:rFonts w:hint="eastAsia" w:ascii="仿宋_GB2312" w:hAnsi="宋体" w:eastAsia="仿宋_GB2312"/>
          <w:sz w:val="32"/>
          <w:szCs w:val="32"/>
          <w:highlight w:val="none"/>
        </w:rPr>
        <w:t>委托人派遣的人员和提供的</w:t>
      </w:r>
      <w:r>
        <w:rPr>
          <w:rFonts w:hint="eastAsia" w:ascii="仿宋_GB2312" w:hAnsi="宋体" w:eastAsia="仿宋_GB2312"/>
          <w:bCs/>
          <w:sz w:val="32"/>
          <w:szCs w:val="32"/>
          <w:highlight w:val="none"/>
        </w:rPr>
        <w:t>房屋、资料</w:t>
      </w:r>
      <w:r>
        <w:rPr>
          <w:rFonts w:hint="eastAsia" w:ascii="仿宋_GB2312" w:hAnsi="宋体" w:eastAsia="仿宋_GB2312"/>
          <w:sz w:val="32"/>
          <w:szCs w:val="32"/>
          <w:highlight w:val="none"/>
        </w:rPr>
        <w:t>、设备</w:t>
      </w:r>
    </w:p>
    <w:p>
      <w:pPr>
        <w:adjustRightInd w:val="0"/>
        <w:snapToGrid w:val="0"/>
        <w:spacing w:line="360" w:lineRule="auto"/>
        <w:ind w:firstLine="633" w:firstLineChars="198"/>
        <w:rPr>
          <w:rFonts w:hint="eastAsia" w:ascii="仿宋_GB2312" w:hAnsi="宋体" w:eastAsia="仿宋_GB2312"/>
          <w:sz w:val="24"/>
          <w:highlight w:val="none"/>
        </w:rPr>
      </w:pPr>
      <w:r>
        <w:rPr>
          <w:rFonts w:hint="eastAsia" w:ascii="仿宋_GB2312" w:hAnsi="宋体" w:eastAsia="仿宋_GB2312"/>
          <w:sz w:val="32"/>
          <w:szCs w:val="32"/>
          <w:highlight w:val="none"/>
        </w:rPr>
        <w:t>本合同签订后，双方依法签订的补充协议也是本合同文件的组成部分。</w:t>
      </w:r>
    </w:p>
    <w:p>
      <w:pPr>
        <w:spacing w:line="360" w:lineRule="auto"/>
        <w:ind w:firstLine="636" w:firstLineChars="198"/>
        <w:outlineLvl w:val="0"/>
        <w:rPr>
          <w:rFonts w:hint="eastAsia" w:ascii="仿宋_GB2312" w:hAnsi="宋体" w:eastAsia="仿宋_GB2312"/>
          <w:b/>
          <w:sz w:val="32"/>
          <w:szCs w:val="32"/>
          <w:highlight w:val="none"/>
        </w:rPr>
      </w:pPr>
      <w:bookmarkStart w:id="339" w:name="_Toc9849"/>
      <w:r>
        <w:rPr>
          <w:rFonts w:hint="eastAsia" w:ascii="仿宋_GB2312" w:hAnsi="宋体" w:eastAsia="仿宋_GB2312"/>
          <w:b/>
          <w:sz w:val="32"/>
          <w:szCs w:val="32"/>
          <w:highlight w:val="none"/>
        </w:rPr>
        <w:t>四、总监理工程师</w:t>
      </w:r>
      <w:bookmarkEnd w:id="339"/>
    </w:p>
    <w:p>
      <w:pPr>
        <w:adjustRightInd w:val="0"/>
        <w:snapToGrid w:val="0"/>
        <w:spacing w:line="360" w:lineRule="auto"/>
        <w:ind w:firstLine="633" w:firstLineChars="198"/>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总监理工程师姓名：</w:t>
      </w:r>
      <w:r>
        <w:rPr>
          <w:rFonts w:hint="eastAsia" w:ascii="仿宋_GB2312" w:hAnsi="宋体" w:eastAsia="仿宋_GB2312"/>
          <w:kern w:val="0"/>
          <w:sz w:val="32"/>
          <w:szCs w:val="32"/>
          <w:highlight w:val="none"/>
          <w:u w:val="single"/>
        </w:rPr>
        <w:t xml:space="preserve">           </w:t>
      </w:r>
      <w:r>
        <w:rPr>
          <w:rFonts w:hint="eastAsia" w:ascii="仿宋_GB2312" w:hAnsi="宋体" w:eastAsia="仿宋_GB2312"/>
          <w:kern w:val="0"/>
          <w:sz w:val="32"/>
          <w:szCs w:val="32"/>
          <w:highlight w:val="none"/>
        </w:rPr>
        <w:t>，身份证号码：</w:t>
      </w:r>
      <w:r>
        <w:rPr>
          <w:rFonts w:hint="eastAsia" w:ascii="仿宋_GB2312" w:hAnsi="宋体" w:eastAsia="仿宋_GB2312"/>
          <w:kern w:val="0"/>
          <w:sz w:val="32"/>
          <w:szCs w:val="32"/>
          <w:highlight w:val="none"/>
          <w:u w:val="single"/>
        </w:rPr>
        <w:t xml:space="preserve">            </w:t>
      </w:r>
      <w:r>
        <w:rPr>
          <w:rFonts w:hint="eastAsia" w:ascii="仿宋_GB2312" w:hAnsi="宋体" w:eastAsia="仿宋_GB2312"/>
          <w:kern w:val="0"/>
          <w:sz w:val="32"/>
          <w:szCs w:val="32"/>
          <w:highlight w:val="none"/>
        </w:rPr>
        <w:t>，注册号：</w:t>
      </w:r>
      <w:r>
        <w:rPr>
          <w:rFonts w:hint="eastAsia" w:ascii="仿宋_GB2312" w:hAnsi="宋体" w:eastAsia="仿宋_GB2312"/>
          <w:kern w:val="0"/>
          <w:sz w:val="32"/>
          <w:szCs w:val="32"/>
          <w:highlight w:val="none"/>
          <w:u w:val="single"/>
        </w:rPr>
        <w:t xml:space="preserve">                 </w:t>
      </w:r>
      <w:r>
        <w:rPr>
          <w:rFonts w:hint="eastAsia" w:ascii="仿宋_GB2312" w:hAnsi="宋体" w:eastAsia="仿宋_GB2312"/>
          <w:kern w:val="0"/>
          <w:sz w:val="32"/>
          <w:szCs w:val="32"/>
          <w:highlight w:val="none"/>
        </w:rPr>
        <w:t>。</w:t>
      </w:r>
    </w:p>
    <w:p>
      <w:pPr>
        <w:spacing w:line="360" w:lineRule="auto"/>
        <w:ind w:firstLine="636" w:firstLineChars="198"/>
        <w:outlineLvl w:val="0"/>
        <w:rPr>
          <w:rFonts w:hint="eastAsia" w:ascii="仿宋_GB2312" w:hAnsi="宋体" w:eastAsia="仿宋_GB2312"/>
          <w:b/>
          <w:sz w:val="32"/>
          <w:szCs w:val="32"/>
          <w:highlight w:val="none"/>
        </w:rPr>
      </w:pPr>
      <w:bookmarkStart w:id="340" w:name="_Toc9576"/>
      <w:r>
        <w:rPr>
          <w:rFonts w:hint="eastAsia" w:ascii="仿宋_GB2312" w:hAnsi="宋体" w:eastAsia="仿宋_GB2312"/>
          <w:b/>
          <w:sz w:val="32"/>
          <w:szCs w:val="32"/>
          <w:highlight w:val="none"/>
        </w:rPr>
        <w:t>五、签约酬金</w:t>
      </w:r>
      <w:bookmarkEnd w:id="340"/>
    </w:p>
    <w:p>
      <w:pPr>
        <w:adjustRightInd w:val="0"/>
        <w:snapToGrid w:val="0"/>
        <w:spacing w:line="360" w:lineRule="auto"/>
        <w:ind w:firstLine="633" w:firstLineChars="198"/>
        <w:rPr>
          <w:rFonts w:hint="eastAsia" w:ascii="仿宋_GB2312" w:hAnsi="宋体" w:eastAsia="仿宋_GB2312"/>
          <w:sz w:val="24"/>
          <w:highlight w:val="none"/>
        </w:rPr>
      </w:pPr>
      <w:r>
        <w:rPr>
          <w:rFonts w:hint="eastAsia" w:ascii="仿宋_GB2312" w:hAnsi="宋体" w:eastAsia="仿宋_GB2312"/>
          <w:sz w:val="32"/>
          <w:szCs w:val="32"/>
          <w:highlight w:val="none"/>
        </w:rPr>
        <w:t>签约酬金（大写）：</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w:t>
      </w:r>
      <w:r>
        <w:rPr>
          <w:rFonts w:hint="eastAsia" w:eastAsia="仿宋_GB2312"/>
          <w:sz w:val="32"/>
          <w:szCs w:val="32"/>
          <w:highlight w:val="none"/>
        </w:rPr>
        <w:t>¥</w:t>
      </w:r>
      <w:r>
        <w:rPr>
          <w:rFonts w:hint="eastAsia" w:ascii="仿宋_GB2312" w:hAnsi="宋体" w:eastAsia="仿宋_GB2312"/>
          <w:sz w:val="24"/>
          <w:highlight w:val="none"/>
        </w:rPr>
        <w:t xml:space="preserve">        ）。</w:t>
      </w:r>
    </w:p>
    <w:p>
      <w:pPr>
        <w:adjustRightInd w:val="0"/>
        <w:snapToGrid w:val="0"/>
        <w:spacing w:line="360" w:lineRule="auto"/>
        <w:ind w:firstLine="633" w:firstLineChars="198"/>
        <w:rPr>
          <w:rFonts w:hint="eastAsia" w:ascii="仿宋_GB2312" w:hAnsi="宋体" w:eastAsia="仿宋_GB2312"/>
          <w:sz w:val="32"/>
          <w:szCs w:val="32"/>
          <w:highlight w:val="none"/>
        </w:rPr>
      </w:pPr>
      <w:r>
        <w:rPr>
          <w:rFonts w:hint="eastAsia" w:ascii="仿宋_GB2312" w:hAnsi="宋体" w:eastAsia="仿宋_GB2312"/>
          <w:sz w:val="32"/>
          <w:szCs w:val="32"/>
          <w:highlight w:val="none"/>
        </w:rPr>
        <w:t>包括：</w:t>
      </w:r>
    </w:p>
    <w:p>
      <w:pPr>
        <w:adjustRightInd w:val="0"/>
        <w:snapToGrid w:val="0"/>
        <w:spacing w:line="360" w:lineRule="auto"/>
        <w:ind w:firstLine="800" w:firstLineChars="250"/>
        <w:rPr>
          <w:rFonts w:hint="eastAsia" w:ascii="仿宋_GB2312" w:hAnsi="宋体" w:eastAsia="仿宋_GB2312"/>
          <w:sz w:val="24"/>
          <w:highlight w:val="none"/>
        </w:rPr>
      </w:pPr>
      <w:r>
        <w:rPr>
          <w:rFonts w:hint="eastAsia" w:ascii="仿宋_GB2312" w:eastAsia="仿宋_GB2312"/>
          <w:sz w:val="32"/>
          <w:szCs w:val="32"/>
          <w:highlight w:val="none"/>
        </w:rPr>
        <w:t xml:space="preserve">1. </w:t>
      </w:r>
      <w:r>
        <w:rPr>
          <w:rFonts w:hint="eastAsia" w:ascii="仿宋_GB2312" w:hAnsi="宋体" w:eastAsia="仿宋_GB2312"/>
          <w:sz w:val="32"/>
          <w:szCs w:val="32"/>
          <w:highlight w:val="none"/>
        </w:rPr>
        <w:t>监理酬金：</w:t>
      </w:r>
      <w:r>
        <w:rPr>
          <w:rFonts w:hint="eastAsia" w:ascii="仿宋_GB2312" w:eastAsia="仿宋_GB2312"/>
          <w:sz w:val="24"/>
          <w:highlight w:val="none"/>
          <w:u w:val="single"/>
        </w:rPr>
        <w:t xml:space="preserve">                                 </w:t>
      </w:r>
      <w:r>
        <w:rPr>
          <w:rFonts w:hint="eastAsia" w:ascii="仿宋_GB2312" w:hAnsi="宋体" w:eastAsia="仿宋_GB2312"/>
          <w:sz w:val="24"/>
          <w:highlight w:val="none"/>
        </w:rPr>
        <w:t>。</w:t>
      </w:r>
    </w:p>
    <w:p>
      <w:pPr>
        <w:adjustRightInd w:val="0"/>
        <w:snapToGrid w:val="0"/>
        <w:spacing w:line="360" w:lineRule="auto"/>
        <w:ind w:firstLine="800" w:firstLineChars="250"/>
        <w:rPr>
          <w:rFonts w:hint="eastAsia" w:ascii="仿宋_GB2312" w:eastAsia="仿宋_GB2312"/>
          <w:sz w:val="24"/>
          <w:highlight w:val="none"/>
        </w:rPr>
      </w:pPr>
      <w:r>
        <w:rPr>
          <w:rFonts w:hint="eastAsia" w:ascii="仿宋_GB2312" w:eastAsia="仿宋_GB2312"/>
          <w:sz w:val="32"/>
          <w:szCs w:val="32"/>
          <w:highlight w:val="none"/>
        </w:rPr>
        <w:t xml:space="preserve">2. </w:t>
      </w:r>
      <w:r>
        <w:rPr>
          <w:rFonts w:hint="eastAsia" w:ascii="仿宋_GB2312" w:hAnsi="宋体" w:eastAsia="仿宋_GB2312"/>
          <w:sz w:val="32"/>
          <w:szCs w:val="32"/>
          <w:highlight w:val="none"/>
        </w:rPr>
        <w:t>相关服务酬金：</w:t>
      </w:r>
      <w:r>
        <w:rPr>
          <w:rFonts w:hint="eastAsia" w:ascii="仿宋_GB2312" w:eastAsia="仿宋_GB2312"/>
          <w:sz w:val="24"/>
          <w:highlight w:val="none"/>
          <w:u w:val="single"/>
        </w:rPr>
        <w:t xml:space="preserve">                            </w:t>
      </w:r>
      <w:r>
        <w:rPr>
          <w:rFonts w:hint="eastAsia" w:ascii="仿宋_GB2312" w:hAnsi="宋体" w:eastAsia="仿宋_GB2312"/>
          <w:sz w:val="24"/>
          <w:highlight w:val="none"/>
        </w:rPr>
        <w:t>。</w:t>
      </w:r>
    </w:p>
    <w:p>
      <w:pPr>
        <w:adjustRightInd w:val="0"/>
        <w:snapToGrid w:val="0"/>
        <w:spacing w:line="360" w:lineRule="auto"/>
        <w:ind w:firstLine="800" w:firstLineChars="250"/>
        <w:rPr>
          <w:rFonts w:hint="eastAsia" w:ascii="仿宋_GB2312" w:eastAsia="仿宋_GB2312"/>
          <w:sz w:val="32"/>
          <w:szCs w:val="32"/>
          <w:highlight w:val="none"/>
        </w:rPr>
      </w:pPr>
      <w:r>
        <w:rPr>
          <w:rFonts w:hint="eastAsia" w:ascii="仿宋_GB2312" w:hAnsi="宋体" w:eastAsia="仿宋_GB2312"/>
          <w:sz w:val="32"/>
          <w:szCs w:val="32"/>
          <w:highlight w:val="none"/>
        </w:rPr>
        <w:t>其中：</w:t>
      </w:r>
    </w:p>
    <w:p>
      <w:pPr>
        <w:adjustRightInd w:val="0"/>
        <w:snapToGrid w:val="0"/>
        <w:spacing w:line="360" w:lineRule="auto"/>
        <w:ind w:firstLine="1280" w:firstLineChars="400"/>
        <w:rPr>
          <w:rFonts w:hint="eastAsia" w:ascii="仿宋_GB2312" w:eastAsia="仿宋_GB2312"/>
          <w:sz w:val="24"/>
          <w:highlight w:val="none"/>
        </w:rPr>
      </w:pPr>
      <w:r>
        <w:rPr>
          <w:rFonts w:hint="eastAsia" w:ascii="仿宋_GB2312" w:hAnsi="宋体" w:eastAsia="仿宋_GB2312"/>
          <w:kern w:val="0"/>
          <w:sz w:val="32"/>
          <w:szCs w:val="32"/>
          <w:highlight w:val="none"/>
        </w:rPr>
        <w:t>（1）勘察阶段服务</w:t>
      </w:r>
      <w:r>
        <w:rPr>
          <w:rFonts w:hint="eastAsia" w:ascii="仿宋_GB2312" w:hAnsi="宋体" w:eastAsia="仿宋_GB2312"/>
          <w:sz w:val="32"/>
          <w:szCs w:val="32"/>
          <w:highlight w:val="none"/>
        </w:rPr>
        <w:t>酬金：</w:t>
      </w:r>
      <w:r>
        <w:rPr>
          <w:rFonts w:hint="eastAsia" w:ascii="仿宋_GB2312" w:eastAsia="仿宋_GB2312"/>
          <w:sz w:val="24"/>
          <w:highlight w:val="none"/>
          <w:u w:val="single"/>
        </w:rPr>
        <w:t xml:space="preserve">                           </w:t>
      </w:r>
      <w:r>
        <w:rPr>
          <w:rFonts w:hint="eastAsia" w:ascii="仿宋_GB2312" w:hAnsi="宋体" w:eastAsia="仿宋_GB2312"/>
          <w:sz w:val="24"/>
          <w:highlight w:val="none"/>
        </w:rPr>
        <w:t>。</w:t>
      </w:r>
    </w:p>
    <w:p>
      <w:pPr>
        <w:adjustRightInd w:val="0"/>
        <w:snapToGrid w:val="0"/>
        <w:spacing w:line="360" w:lineRule="auto"/>
        <w:ind w:firstLine="1280" w:firstLineChars="400"/>
        <w:rPr>
          <w:rFonts w:hint="eastAsia" w:ascii="仿宋_GB2312" w:hAnsi="宋体" w:eastAsia="仿宋_GB2312"/>
          <w:sz w:val="24"/>
          <w:highlight w:val="none"/>
        </w:rPr>
      </w:pPr>
      <w:r>
        <w:rPr>
          <w:rFonts w:hint="eastAsia" w:ascii="仿宋_GB2312" w:hAnsi="宋体" w:eastAsia="仿宋_GB2312"/>
          <w:kern w:val="0"/>
          <w:sz w:val="32"/>
          <w:szCs w:val="32"/>
          <w:highlight w:val="none"/>
        </w:rPr>
        <w:t>（2）设计阶段服务</w:t>
      </w:r>
      <w:r>
        <w:rPr>
          <w:rFonts w:hint="eastAsia" w:ascii="仿宋_GB2312" w:hAnsi="宋体" w:eastAsia="仿宋_GB2312"/>
          <w:sz w:val="32"/>
          <w:szCs w:val="32"/>
          <w:highlight w:val="none"/>
        </w:rPr>
        <w:t>酬金：</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w:t>
      </w:r>
    </w:p>
    <w:p>
      <w:pPr>
        <w:adjustRightInd w:val="0"/>
        <w:snapToGrid w:val="0"/>
        <w:spacing w:line="360" w:lineRule="auto"/>
        <w:ind w:firstLine="1280" w:firstLineChars="400"/>
        <w:rPr>
          <w:rFonts w:hint="eastAsia" w:ascii="仿宋_GB2312" w:eastAsia="仿宋_GB2312"/>
          <w:sz w:val="24"/>
          <w:highlight w:val="none"/>
        </w:rPr>
      </w:pPr>
      <w:r>
        <w:rPr>
          <w:rFonts w:hint="eastAsia" w:ascii="仿宋_GB2312" w:hAnsi="宋体" w:eastAsia="仿宋_GB2312"/>
          <w:kern w:val="0"/>
          <w:sz w:val="32"/>
          <w:szCs w:val="32"/>
          <w:highlight w:val="none"/>
        </w:rPr>
        <w:t>（3）保修阶段服务</w:t>
      </w:r>
      <w:r>
        <w:rPr>
          <w:rFonts w:hint="eastAsia" w:ascii="仿宋_GB2312" w:hAnsi="宋体" w:eastAsia="仿宋_GB2312"/>
          <w:sz w:val="32"/>
          <w:szCs w:val="32"/>
          <w:highlight w:val="none"/>
        </w:rPr>
        <w:t>酬金：</w:t>
      </w:r>
      <w:r>
        <w:rPr>
          <w:rFonts w:hint="eastAsia" w:ascii="仿宋_GB2312" w:eastAsia="仿宋_GB2312"/>
          <w:sz w:val="24"/>
          <w:highlight w:val="none"/>
          <w:u w:val="single"/>
        </w:rPr>
        <w:t xml:space="preserve">                           </w:t>
      </w:r>
      <w:r>
        <w:rPr>
          <w:rFonts w:hint="eastAsia" w:ascii="仿宋_GB2312" w:hAnsi="宋体" w:eastAsia="仿宋_GB2312"/>
          <w:sz w:val="24"/>
          <w:highlight w:val="none"/>
        </w:rPr>
        <w:t>。</w:t>
      </w:r>
    </w:p>
    <w:p>
      <w:pPr>
        <w:adjustRightInd w:val="0"/>
        <w:snapToGrid w:val="0"/>
        <w:spacing w:line="360" w:lineRule="auto"/>
        <w:ind w:firstLine="1280" w:firstLineChars="400"/>
        <w:rPr>
          <w:rFonts w:hint="eastAsia" w:ascii="仿宋_GB2312" w:hAnsi="宋体" w:eastAsia="仿宋_GB2312"/>
          <w:sz w:val="24"/>
          <w:highlight w:val="none"/>
        </w:rPr>
      </w:pPr>
      <w:r>
        <w:rPr>
          <w:rFonts w:hint="eastAsia" w:ascii="仿宋_GB2312" w:hAnsi="宋体" w:eastAsia="仿宋_GB2312"/>
          <w:kern w:val="0"/>
          <w:sz w:val="32"/>
          <w:szCs w:val="32"/>
          <w:highlight w:val="none"/>
        </w:rPr>
        <w:t>（4）</w:t>
      </w:r>
      <w:r>
        <w:rPr>
          <w:rFonts w:hint="eastAsia" w:ascii="仿宋_GB2312" w:hAnsi="宋体" w:eastAsia="仿宋_GB2312"/>
          <w:sz w:val="32"/>
          <w:szCs w:val="32"/>
          <w:highlight w:val="none"/>
        </w:rPr>
        <w:t>其他相关服务酬金：</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w:t>
      </w:r>
    </w:p>
    <w:p>
      <w:pPr>
        <w:spacing w:line="360" w:lineRule="auto"/>
        <w:ind w:firstLine="636" w:firstLineChars="198"/>
        <w:outlineLvl w:val="0"/>
        <w:rPr>
          <w:rFonts w:hint="eastAsia" w:ascii="仿宋_GB2312" w:hAnsi="宋体" w:eastAsia="仿宋_GB2312"/>
          <w:b/>
          <w:sz w:val="32"/>
          <w:szCs w:val="32"/>
          <w:highlight w:val="none"/>
        </w:rPr>
      </w:pPr>
      <w:bookmarkStart w:id="341" w:name="_Toc5268"/>
      <w:r>
        <w:rPr>
          <w:rFonts w:hint="eastAsia" w:ascii="仿宋_GB2312" w:hAnsi="宋体" w:eastAsia="仿宋_GB2312"/>
          <w:b/>
          <w:sz w:val="32"/>
          <w:szCs w:val="32"/>
          <w:highlight w:val="none"/>
        </w:rPr>
        <w:t>六、期限</w:t>
      </w:r>
      <w:bookmarkEnd w:id="341"/>
    </w:p>
    <w:p>
      <w:pPr>
        <w:adjustRightInd w:val="0"/>
        <w:snapToGrid w:val="0"/>
        <w:spacing w:line="360" w:lineRule="auto"/>
        <w:ind w:firstLine="800" w:firstLineChars="250"/>
        <w:jc w:val="left"/>
        <w:rPr>
          <w:rFonts w:hint="eastAsia" w:ascii="仿宋_GB2312" w:eastAsia="仿宋_GB2312"/>
          <w:sz w:val="32"/>
          <w:szCs w:val="32"/>
          <w:highlight w:val="none"/>
        </w:rPr>
      </w:pPr>
      <w:r>
        <w:rPr>
          <w:rFonts w:hint="eastAsia" w:ascii="仿宋_GB2312" w:hAnsi="宋体" w:eastAsia="仿宋_GB2312"/>
          <w:kern w:val="0"/>
          <w:sz w:val="32"/>
          <w:szCs w:val="32"/>
          <w:highlight w:val="none"/>
        </w:rPr>
        <w:t xml:space="preserve">1. </w:t>
      </w:r>
      <w:r>
        <w:rPr>
          <w:rFonts w:hint="eastAsia" w:ascii="仿宋_GB2312" w:hAnsi="宋体" w:eastAsia="仿宋_GB2312"/>
          <w:sz w:val="32"/>
          <w:szCs w:val="32"/>
          <w:highlight w:val="none"/>
        </w:rPr>
        <w:t>监理期限：</w:t>
      </w:r>
    </w:p>
    <w:p>
      <w:pPr>
        <w:adjustRightInd w:val="0"/>
        <w:snapToGrid w:val="0"/>
        <w:spacing w:line="360" w:lineRule="auto"/>
        <w:ind w:firstLine="800" w:firstLineChars="250"/>
        <w:jc w:val="left"/>
        <w:rPr>
          <w:rFonts w:hint="eastAsia" w:ascii="仿宋_GB2312" w:eastAsia="仿宋_GB2312"/>
          <w:sz w:val="32"/>
          <w:szCs w:val="32"/>
          <w:highlight w:val="none"/>
        </w:rPr>
      </w:pPr>
      <w:r>
        <w:rPr>
          <w:rFonts w:hint="eastAsia" w:ascii="仿宋_GB2312" w:hAnsi="宋体" w:eastAsia="仿宋_GB2312"/>
          <w:sz w:val="32"/>
          <w:szCs w:val="32"/>
          <w:highlight w:val="none"/>
        </w:rPr>
        <w:t>自</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日始，至</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日止。</w:t>
      </w:r>
    </w:p>
    <w:p>
      <w:pPr>
        <w:adjustRightInd w:val="0"/>
        <w:snapToGrid w:val="0"/>
        <w:spacing w:line="360" w:lineRule="auto"/>
        <w:ind w:firstLine="800" w:firstLineChars="250"/>
        <w:rPr>
          <w:rFonts w:hint="eastAsia" w:ascii="仿宋_GB2312" w:eastAsia="仿宋_GB2312"/>
          <w:sz w:val="32"/>
          <w:szCs w:val="32"/>
          <w:highlight w:val="none"/>
        </w:rPr>
      </w:pPr>
      <w:r>
        <w:rPr>
          <w:rFonts w:hint="eastAsia" w:ascii="仿宋_GB2312" w:hAnsi="宋体" w:eastAsia="仿宋_GB2312"/>
          <w:kern w:val="0"/>
          <w:sz w:val="32"/>
          <w:szCs w:val="32"/>
          <w:highlight w:val="none"/>
        </w:rPr>
        <w:t xml:space="preserve">2. </w:t>
      </w:r>
      <w:r>
        <w:rPr>
          <w:rFonts w:hint="eastAsia" w:ascii="仿宋_GB2312" w:hAnsi="宋体" w:eastAsia="仿宋_GB2312"/>
          <w:sz w:val="32"/>
          <w:szCs w:val="32"/>
          <w:highlight w:val="none"/>
        </w:rPr>
        <w:t>相关服务期限：</w:t>
      </w:r>
    </w:p>
    <w:p>
      <w:pPr>
        <w:adjustRightInd w:val="0"/>
        <w:snapToGrid w:val="0"/>
        <w:spacing w:line="360" w:lineRule="auto"/>
        <w:ind w:firstLine="800" w:firstLineChars="250"/>
        <w:rPr>
          <w:rFonts w:hint="eastAsia" w:ascii="仿宋_GB2312" w:eastAsia="仿宋_GB2312"/>
          <w:sz w:val="32"/>
          <w:szCs w:val="32"/>
          <w:highlight w:val="none"/>
        </w:rPr>
      </w:pPr>
      <w:r>
        <w:rPr>
          <w:rFonts w:hint="eastAsia" w:ascii="仿宋_GB2312" w:hAnsi="宋体" w:eastAsia="仿宋_GB2312"/>
          <w:kern w:val="0"/>
          <w:sz w:val="32"/>
          <w:szCs w:val="32"/>
          <w:highlight w:val="none"/>
        </w:rPr>
        <w:t>（1）勘察阶段</w:t>
      </w:r>
      <w:r>
        <w:rPr>
          <w:rFonts w:hint="eastAsia" w:ascii="仿宋_GB2312" w:hAnsi="宋体" w:eastAsia="仿宋_GB2312"/>
          <w:sz w:val="32"/>
          <w:szCs w:val="32"/>
          <w:highlight w:val="none"/>
        </w:rPr>
        <w:t>服务期限自</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日始，至</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日止。</w:t>
      </w:r>
    </w:p>
    <w:p>
      <w:pPr>
        <w:adjustRightInd w:val="0"/>
        <w:snapToGrid w:val="0"/>
        <w:spacing w:line="360" w:lineRule="auto"/>
        <w:ind w:firstLine="800" w:firstLineChars="250"/>
        <w:rPr>
          <w:rFonts w:hint="eastAsia" w:ascii="仿宋_GB2312" w:eastAsia="仿宋_GB2312"/>
          <w:sz w:val="32"/>
          <w:szCs w:val="32"/>
          <w:highlight w:val="none"/>
        </w:rPr>
      </w:pPr>
      <w:r>
        <w:rPr>
          <w:rFonts w:hint="eastAsia" w:ascii="仿宋_GB2312" w:hAnsi="宋体" w:eastAsia="仿宋_GB2312"/>
          <w:kern w:val="0"/>
          <w:sz w:val="32"/>
          <w:szCs w:val="32"/>
          <w:highlight w:val="none"/>
        </w:rPr>
        <w:t>（2）设计阶段</w:t>
      </w:r>
      <w:r>
        <w:rPr>
          <w:rFonts w:hint="eastAsia" w:ascii="仿宋_GB2312" w:hAnsi="宋体" w:eastAsia="仿宋_GB2312"/>
          <w:sz w:val="32"/>
          <w:szCs w:val="32"/>
          <w:highlight w:val="none"/>
        </w:rPr>
        <w:t>服务期限自</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日始，至</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日止。</w:t>
      </w:r>
    </w:p>
    <w:p>
      <w:pPr>
        <w:adjustRightInd w:val="0"/>
        <w:snapToGrid w:val="0"/>
        <w:spacing w:line="360" w:lineRule="auto"/>
        <w:ind w:firstLine="800" w:firstLineChars="250"/>
        <w:rPr>
          <w:rFonts w:hint="eastAsia" w:ascii="仿宋_GB2312" w:eastAsia="仿宋_GB2312"/>
          <w:sz w:val="32"/>
          <w:szCs w:val="32"/>
          <w:highlight w:val="none"/>
        </w:rPr>
      </w:pPr>
      <w:r>
        <w:rPr>
          <w:rFonts w:hint="eastAsia" w:ascii="仿宋_GB2312" w:hAnsi="宋体" w:eastAsia="仿宋_GB2312"/>
          <w:kern w:val="0"/>
          <w:sz w:val="32"/>
          <w:szCs w:val="32"/>
          <w:highlight w:val="none"/>
        </w:rPr>
        <w:t>（3）保修阶段</w:t>
      </w:r>
      <w:r>
        <w:rPr>
          <w:rFonts w:hint="eastAsia" w:ascii="仿宋_GB2312" w:hAnsi="宋体" w:eastAsia="仿宋_GB2312"/>
          <w:sz w:val="32"/>
          <w:szCs w:val="32"/>
          <w:highlight w:val="none"/>
        </w:rPr>
        <w:t>服务期限自</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日始，至</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日止。</w:t>
      </w:r>
    </w:p>
    <w:p>
      <w:pPr>
        <w:adjustRightInd w:val="0"/>
        <w:snapToGrid w:val="0"/>
        <w:spacing w:line="360" w:lineRule="auto"/>
        <w:ind w:firstLine="800" w:firstLineChars="250"/>
        <w:rPr>
          <w:rFonts w:hint="eastAsia" w:ascii="仿宋_GB2312" w:eastAsia="仿宋_GB2312"/>
          <w:sz w:val="32"/>
          <w:szCs w:val="32"/>
          <w:highlight w:val="none"/>
        </w:rPr>
      </w:pPr>
      <w:r>
        <w:rPr>
          <w:rFonts w:hint="eastAsia" w:ascii="仿宋_GB2312" w:hAnsi="宋体" w:eastAsia="仿宋_GB2312"/>
          <w:kern w:val="0"/>
          <w:sz w:val="32"/>
          <w:szCs w:val="32"/>
          <w:highlight w:val="none"/>
        </w:rPr>
        <w:t>（4）</w:t>
      </w:r>
      <w:r>
        <w:rPr>
          <w:rFonts w:hint="eastAsia" w:ascii="仿宋_GB2312" w:hAnsi="宋体" w:eastAsia="仿宋_GB2312"/>
          <w:sz w:val="32"/>
          <w:szCs w:val="32"/>
          <w:highlight w:val="none"/>
        </w:rPr>
        <w:t>其他相关服务期限自</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日始，至</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日止。</w:t>
      </w:r>
    </w:p>
    <w:p>
      <w:pPr>
        <w:spacing w:line="360" w:lineRule="auto"/>
        <w:ind w:firstLine="636" w:firstLineChars="198"/>
        <w:outlineLvl w:val="0"/>
        <w:rPr>
          <w:rFonts w:hint="eastAsia" w:ascii="仿宋_GB2312" w:hAnsi="宋体" w:eastAsia="仿宋_GB2312"/>
          <w:b/>
          <w:sz w:val="32"/>
          <w:szCs w:val="32"/>
          <w:highlight w:val="none"/>
        </w:rPr>
      </w:pPr>
      <w:bookmarkStart w:id="342" w:name="_Toc11349"/>
      <w:r>
        <w:rPr>
          <w:rFonts w:hint="eastAsia" w:ascii="仿宋_GB2312" w:hAnsi="宋体" w:eastAsia="仿宋_GB2312"/>
          <w:b/>
          <w:sz w:val="32"/>
          <w:szCs w:val="32"/>
          <w:highlight w:val="none"/>
        </w:rPr>
        <w:t>七、双方承诺</w:t>
      </w:r>
      <w:bookmarkEnd w:id="342"/>
    </w:p>
    <w:p>
      <w:pPr>
        <w:spacing w:line="360" w:lineRule="auto"/>
        <w:ind w:firstLine="633" w:firstLineChars="198"/>
        <w:outlineLvl w:val="0"/>
        <w:rPr>
          <w:rFonts w:hint="eastAsia" w:ascii="仿宋_GB2312" w:hAnsi="宋体" w:eastAsia="仿宋_GB2312"/>
          <w:b/>
          <w:sz w:val="32"/>
          <w:szCs w:val="32"/>
          <w:highlight w:val="none"/>
        </w:rPr>
      </w:pPr>
      <w:bookmarkStart w:id="343" w:name="_Toc18041"/>
      <w:r>
        <w:rPr>
          <w:rFonts w:hint="eastAsia" w:ascii="仿宋_GB2312" w:eastAsia="仿宋_GB2312"/>
          <w:sz w:val="32"/>
          <w:szCs w:val="32"/>
          <w:highlight w:val="none"/>
        </w:rPr>
        <w:t xml:space="preserve">1. </w:t>
      </w:r>
      <w:r>
        <w:rPr>
          <w:rFonts w:hint="eastAsia" w:ascii="仿宋_GB2312" w:hAnsi="宋体" w:eastAsia="仿宋_GB2312"/>
          <w:sz w:val="32"/>
          <w:szCs w:val="32"/>
          <w:highlight w:val="none"/>
        </w:rPr>
        <w:t>监理人向委托人承诺，按照本合同约定</w:t>
      </w:r>
      <w:r>
        <w:rPr>
          <w:rFonts w:hint="eastAsia" w:ascii="仿宋_GB2312" w:hAnsi="宋体" w:eastAsia="仿宋_GB2312"/>
          <w:kern w:val="0"/>
          <w:sz w:val="32"/>
          <w:szCs w:val="32"/>
          <w:highlight w:val="none"/>
        </w:rPr>
        <w:t>提供</w:t>
      </w:r>
      <w:r>
        <w:rPr>
          <w:rFonts w:hint="eastAsia" w:ascii="仿宋_GB2312" w:hAnsi="宋体" w:eastAsia="仿宋_GB2312"/>
          <w:sz w:val="32"/>
          <w:szCs w:val="32"/>
          <w:highlight w:val="none"/>
        </w:rPr>
        <w:t>监理与相关服务。</w:t>
      </w:r>
      <w:bookmarkEnd w:id="343"/>
    </w:p>
    <w:p>
      <w:pPr>
        <w:spacing w:line="360" w:lineRule="auto"/>
        <w:ind w:firstLine="633" w:firstLineChars="198"/>
        <w:outlineLvl w:val="0"/>
        <w:rPr>
          <w:rFonts w:hint="eastAsia" w:ascii="仿宋_GB2312" w:hAnsi="宋体" w:eastAsia="仿宋_GB2312"/>
          <w:sz w:val="32"/>
          <w:szCs w:val="32"/>
          <w:highlight w:val="none"/>
        </w:rPr>
      </w:pPr>
      <w:bookmarkStart w:id="344" w:name="_Toc10625"/>
      <w:r>
        <w:rPr>
          <w:rFonts w:hint="eastAsia" w:ascii="仿宋_GB2312" w:eastAsia="仿宋_GB2312"/>
          <w:sz w:val="32"/>
          <w:szCs w:val="32"/>
          <w:highlight w:val="none"/>
        </w:rPr>
        <w:t xml:space="preserve">2. </w:t>
      </w:r>
      <w:r>
        <w:rPr>
          <w:rFonts w:hint="eastAsia" w:ascii="仿宋_GB2312" w:hAnsi="宋体" w:eastAsia="仿宋_GB2312"/>
          <w:sz w:val="32"/>
          <w:szCs w:val="32"/>
          <w:highlight w:val="none"/>
        </w:rPr>
        <w:t>委托人向监理人承诺，按照本合同约定派遣相应的人员，提供</w:t>
      </w:r>
      <w:r>
        <w:rPr>
          <w:rFonts w:hint="eastAsia" w:ascii="仿宋_GB2312" w:hAnsi="宋体" w:eastAsia="仿宋_GB2312"/>
          <w:bCs/>
          <w:sz w:val="32"/>
          <w:szCs w:val="32"/>
          <w:highlight w:val="none"/>
        </w:rPr>
        <w:t>房屋、资料</w:t>
      </w:r>
      <w:r>
        <w:rPr>
          <w:rFonts w:hint="eastAsia" w:ascii="仿宋_GB2312" w:hAnsi="宋体" w:eastAsia="仿宋_GB2312"/>
          <w:sz w:val="32"/>
          <w:szCs w:val="32"/>
          <w:highlight w:val="none"/>
        </w:rPr>
        <w:t>、设备，并按本合同约定支付酬金。</w:t>
      </w:r>
      <w:bookmarkEnd w:id="344"/>
    </w:p>
    <w:p>
      <w:pPr>
        <w:spacing w:line="360" w:lineRule="auto"/>
        <w:ind w:firstLine="636" w:firstLineChars="198"/>
        <w:outlineLvl w:val="0"/>
        <w:rPr>
          <w:rFonts w:hint="eastAsia" w:ascii="仿宋_GB2312" w:hAnsi="宋体" w:eastAsia="仿宋_GB2312"/>
          <w:b/>
          <w:sz w:val="32"/>
          <w:szCs w:val="32"/>
          <w:highlight w:val="none"/>
        </w:rPr>
      </w:pPr>
      <w:bookmarkStart w:id="345" w:name="_Toc11373"/>
      <w:r>
        <w:rPr>
          <w:rFonts w:hint="eastAsia" w:ascii="仿宋_GB2312" w:hAnsi="宋体" w:eastAsia="仿宋_GB2312"/>
          <w:b/>
          <w:sz w:val="32"/>
          <w:szCs w:val="32"/>
          <w:highlight w:val="none"/>
        </w:rPr>
        <w:t>八、合同订立</w:t>
      </w:r>
      <w:bookmarkEnd w:id="345"/>
    </w:p>
    <w:p>
      <w:pPr>
        <w:adjustRightInd w:val="0"/>
        <w:snapToGrid w:val="0"/>
        <w:spacing w:line="360" w:lineRule="auto"/>
        <w:ind w:firstLine="633" w:firstLineChars="198"/>
        <w:rPr>
          <w:rFonts w:hint="eastAsia" w:ascii="仿宋_GB2312" w:eastAsia="仿宋_GB2312"/>
          <w:sz w:val="32"/>
          <w:szCs w:val="32"/>
          <w:highlight w:val="none"/>
        </w:rPr>
      </w:pPr>
      <w:r>
        <w:rPr>
          <w:rFonts w:hint="eastAsia" w:ascii="仿宋_GB2312" w:eastAsia="仿宋_GB2312"/>
          <w:sz w:val="32"/>
          <w:szCs w:val="32"/>
          <w:highlight w:val="none"/>
        </w:rPr>
        <w:t xml:space="preserve">1. </w:t>
      </w:r>
      <w:r>
        <w:rPr>
          <w:rFonts w:hint="eastAsia" w:ascii="仿宋_GB2312" w:hAnsi="宋体" w:eastAsia="仿宋_GB2312"/>
          <w:sz w:val="32"/>
          <w:szCs w:val="32"/>
          <w:highlight w:val="none"/>
        </w:rPr>
        <w:t>订立时间：</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日。</w:t>
      </w:r>
    </w:p>
    <w:p>
      <w:pPr>
        <w:adjustRightInd w:val="0"/>
        <w:snapToGrid w:val="0"/>
        <w:spacing w:line="360" w:lineRule="auto"/>
        <w:ind w:firstLine="633" w:firstLineChars="198"/>
        <w:rPr>
          <w:rFonts w:hint="eastAsia" w:ascii="仿宋_GB2312" w:eastAsia="仿宋_GB2312"/>
          <w:sz w:val="32"/>
          <w:szCs w:val="32"/>
          <w:highlight w:val="none"/>
        </w:rPr>
      </w:pPr>
      <w:r>
        <w:rPr>
          <w:rFonts w:hint="eastAsia" w:ascii="仿宋_GB2312" w:eastAsia="仿宋_GB2312"/>
          <w:sz w:val="32"/>
          <w:szCs w:val="32"/>
          <w:highlight w:val="none"/>
        </w:rPr>
        <w:t xml:space="preserve">2. </w:t>
      </w:r>
      <w:r>
        <w:rPr>
          <w:rFonts w:hint="eastAsia" w:ascii="仿宋_GB2312" w:hAnsi="宋体" w:eastAsia="仿宋_GB2312"/>
          <w:sz w:val="32"/>
          <w:szCs w:val="32"/>
          <w:highlight w:val="none"/>
        </w:rPr>
        <w:t>订立地点：</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w:t>
      </w:r>
    </w:p>
    <w:p>
      <w:pPr>
        <w:adjustRightInd w:val="0"/>
        <w:snapToGrid w:val="0"/>
        <w:spacing w:line="360" w:lineRule="auto"/>
        <w:ind w:left="632" w:leftChars="301"/>
        <w:rPr>
          <w:rFonts w:hint="eastAsia" w:ascii="仿宋_GB2312" w:hAnsi="宋体" w:eastAsia="仿宋_GB2312"/>
          <w:sz w:val="32"/>
          <w:szCs w:val="32"/>
          <w:highlight w:val="none"/>
        </w:rPr>
      </w:pPr>
      <w:r>
        <w:rPr>
          <w:rFonts w:hint="eastAsia" w:ascii="仿宋_GB2312" w:eastAsia="仿宋_GB2312"/>
          <w:sz w:val="32"/>
          <w:szCs w:val="32"/>
          <w:highlight w:val="none"/>
        </w:rPr>
        <w:t xml:space="preserve">3. </w:t>
      </w:r>
      <w:r>
        <w:rPr>
          <w:rFonts w:hint="eastAsia" w:ascii="仿宋_GB2312" w:hAnsi="宋体" w:eastAsia="仿宋_GB2312"/>
          <w:sz w:val="32"/>
          <w:szCs w:val="32"/>
          <w:highlight w:val="none"/>
        </w:rPr>
        <w:t>本合同一式</w:t>
      </w: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份，具有同等法律效力，双方各执</w:t>
      </w:r>
    </w:p>
    <w:p>
      <w:pPr>
        <w:adjustRightInd w:val="0"/>
        <w:snapToGrid w:val="0"/>
        <w:spacing w:line="360" w:lineRule="auto"/>
        <w:ind w:left="632" w:leftChars="301"/>
        <w:rPr>
          <w:rFonts w:hint="eastAsia" w:ascii="仿宋_GB2312" w:hAnsi="宋体" w:eastAsia="仿宋_GB2312"/>
          <w:sz w:val="32"/>
          <w:szCs w:val="32"/>
          <w:highlight w:val="none"/>
        </w:rPr>
      </w:pP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份。</w:t>
      </w:r>
    </w:p>
    <w:p>
      <w:pPr>
        <w:adjustRightInd w:val="0"/>
        <w:snapToGrid w:val="0"/>
        <w:spacing w:line="360" w:lineRule="auto"/>
        <w:ind w:firstLine="633" w:firstLineChars="198"/>
        <w:rPr>
          <w:rFonts w:hint="eastAsia" w:ascii="仿宋_GB2312" w:hAnsi="宋体" w:eastAsia="仿宋_GB2312"/>
          <w:sz w:val="24"/>
          <w:highlight w:val="none"/>
        </w:rPr>
      </w:pPr>
      <w:r>
        <w:rPr>
          <w:rFonts w:hint="eastAsia" w:ascii="仿宋_GB2312" w:hAnsi="宋体" w:eastAsia="仿宋_GB2312"/>
          <w:sz w:val="32"/>
          <w:szCs w:val="32"/>
          <w:highlight w:val="none"/>
        </w:rPr>
        <w:t>委托人：</w:t>
      </w:r>
      <w:r>
        <w:rPr>
          <w:rFonts w:hint="eastAsia" w:ascii="仿宋_GB2312" w:hAnsi="宋体" w:eastAsia="仿宋_GB2312"/>
          <w:sz w:val="32"/>
          <w:szCs w:val="32"/>
          <w:highlight w:val="none"/>
          <w:u w:val="single"/>
        </w:rPr>
        <w:t xml:space="preserve">   （盖章） </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w:t>
      </w:r>
      <w:r>
        <w:rPr>
          <w:rFonts w:hint="eastAsia" w:ascii="仿宋_GB2312" w:hAnsi="宋体" w:eastAsia="仿宋_GB2312"/>
          <w:sz w:val="32"/>
          <w:szCs w:val="32"/>
          <w:highlight w:val="none"/>
        </w:rPr>
        <w:t>监理人：</w:t>
      </w:r>
      <w:r>
        <w:rPr>
          <w:rFonts w:hint="eastAsia" w:ascii="仿宋_GB2312" w:hAnsi="宋体" w:eastAsia="仿宋_GB2312"/>
          <w:sz w:val="32"/>
          <w:szCs w:val="32"/>
          <w:highlight w:val="none"/>
          <w:u w:val="single"/>
        </w:rPr>
        <w:t xml:space="preserve">   （盖章）    </w:t>
      </w:r>
    </w:p>
    <w:p>
      <w:pPr>
        <w:adjustRightInd w:val="0"/>
        <w:snapToGrid w:val="0"/>
        <w:spacing w:line="360" w:lineRule="auto"/>
        <w:ind w:firstLine="633" w:firstLineChars="198"/>
        <w:rPr>
          <w:rFonts w:hint="eastAsia" w:ascii="仿宋_GB2312" w:hAnsi="宋体" w:eastAsia="仿宋_GB2312"/>
          <w:sz w:val="24"/>
          <w:highlight w:val="none"/>
        </w:rPr>
      </w:pPr>
      <w:r>
        <w:rPr>
          <w:rFonts w:hint="eastAsia" w:ascii="仿宋_GB2312" w:hAnsi="宋体" w:eastAsia="仿宋_GB2312"/>
          <w:sz w:val="32"/>
          <w:szCs w:val="32"/>
          <w:highlight w:val="none"/>
        </w:rPr>
        <w:t xml:space="preserve">住所： </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w:t>
      </w:r>
      <w:r>
        <w:rPr>
          <w:rFonts w:hint="eastAsia" w:ascii="仿宋_GB2312" w:hAnsi="宋体" w:eastAsia="仿宋_GB2312"/>
          <w:sz w:val="32"/>
          <w:szCs w:val="32"/>
          <w:highlight w:val="none"/>
        </w:rPr>
        <w:t xml:space="preserve">住所： </w:t>
      </w:r>
      <w:r>
        <w:rPr>
          <w:rFonts w:hint="eastAsia" w:ascii="仿宋_GB2312" w:hAnsi="宋体" w:eastAsia="仿宋_GB2312"/>
          <w:sz w:val="24"/>
          <w:highlight w:val="none"/>
          <w:u w:val="single"/>
        </w:rPr>
        <w:t xml:space="preserve">                      </w:t>
      </w:r>
    </w:p>
    <w:p>
      <w:pPr>
        <w:adjustRightInd w:val="0"/>
        <w:snapToGrid w:val="0"/>
        <w:spacing w:line="360" w:lineRule="auto"/>
        <w:ind w:firstLine="640" w:firstLineChars="200"/>
        <w:rPr>
          <w:rFonts w:hint="eastAsia" w:ascii="仿宋_GB2312" w:hAnsi="宋体" w:eastAsia="仿宋_GB2312"/>
          <w:sz w:val="24"/>
          <w:highlight w:val="none"/>
        </w:rPr>
      </w:pPr>
      <w:r>
        <w:rPr>
          <w:rFonts w:hint="eastAsia" w:ascii="仿宋_GB2312" w:hAnsi="宋体" w:eastAsia="仿宋_GB2312"/>
          <w:sz w:val="32"/>
          <w:szCs w:val="32"/>
          <w:highlight w:val="none"/>
        </w:rPr>
        <w:t>邮政编码：</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w:t>
      </w:r>
      <w:r>
        <w:rPr>
          <w:rFonts w:hint="eastAsia" w:ascii="仿宋_GB2312" w:hAnsi="宋体" w:eastAsia="仿宋_GB2312"/>
          <w:sz w:val="32"/>
          <w:szCs w:val="32"/>
          <w:highlight w:val="none"/>
        </w:rPr>
        <w:t>邮政编码：</w:t>
      </w:r>
      <w:r>
        <w:rPr>
          <w:rFonts w:hint="eastAsia" w:ascii="仿宋_GB2312" w:hAnsi="宋体" w:eastAsia="仿宋_GB2312"/>
          <w:sz w:val="24"/>
          <w:highlight w:val="none"/>
          <w:u w:val="single"/>
        </w:rPr>
        <w:t xml:space="preserve">                  </w:t>
      </w:r>
    </w:p>
    <w:p>
      <w:pPr>
        <w:adjustRightInd w:val="0"/>
        <w:snapToGrid w:val="0"/>
        <w:spacing w:line="360" w:lineRule="auto"/>
        <w:ind w:firstLine="633" w:firstLineChars="198"/>
        <w:rPr>
          <w:rFonts w:hint="eastAsia" w:ascii="仿宋_GB2312" w:hAnsi="宋体" w:eastAsia="仿宋_GB2312"/>
          <w:sz w:val="32"/>
          <w:szCs w:val="32"/>
          <w:highlight w:val="none"/>
        </w:rPr>
      </w:pPr>
      <w:r>
        <w:rPr>
          <w:rFonts w:hint="eastAsia" w:ascii="仿宋_GB2312" w:hAnsi="宋体" w:eastAsia="仿宋_GB2312"/>
          <w:sz w:val="32"/>
          <w:szCs w:val="32"/>
          <w:highlight w:val="none"/>
        </w:rPr>
        <w:t>法定代表人或其授权       法定代表人或其授权</w:t>
      </w:r>
    </w:p>
    <w:p>
      <w:pPr>
        <w:adjustRightInd w:val="0"/>
        <w:snapToGrid w:val="0"/>
        <w:spacing w:line="360" w:lineRule="auto"/>
        <w:ind w:firstLine="633" w:firstLineChars="198"/>
        <w:rPr>
          <w:rFonts w:hint="eastAsia" w:ascii="仿宋_GB2312" w:hAnsi="宋体" w:eastAsia="仿宋_GB2312"/>
          <w:sz w:val="24"/>
          <w:highlight w:val="none"/>
        </w:rPr>
      </w:pPr>
      <w:r>
        <w:rPr>
          <w:rFonts w:hint="eastAsia" w:ascii="仿宋_GB2312" w:hAnsi="宋体" w:eastAsia="仿宋_GB2312"/>
          <w:sz w:val="32"/>
          <w:szCs w:val="32"/>
          <w:highlight w:val="none"/>
        </w:rPr>
        <w:t>的代理人：</w:t>
      </w:r>
      <w:r>
        <w:rPr>
          <w:rFonts w:hint="eastAsia" w:ascii="仿宋_GB2312" w:hAnsi="宋体" w:eastAsia="仿宋_GB2312"/>
          <w:sz w:val="32"/>
          <w:szCs w:val="32"/>
          <w:highlight w:val="none"/>
          <w:u w:val="single"/>
        </w:rPr>
        <w:t xml:space="preserve">（签字）      </w:t>
      </w:r>
      <w:r>
        <w:rPr>
          <w:rFonts w:hint="eastAsia" w:ascii="仿宋_GB2312" w:hAnsi="宋体" w:eastAsia="仿宋_GB2312"/>
          <w:sz w:val="32"/>
          <w:szCs w:val="32"/>
          <w:highlight w:val="none"/>
        </w:rPr>
        <w:t xml:space="preserve">  的代理人：</w:t>
      </w:r>
      <w:r>
        <w:rPr>
          <w:rFonts w:hint="eastAsia" w:ascii="仿宋_GB2312" w:hAnsi="宋体" w:eastAsia="仿宋_GB2312"/>
          <w:sz w:val="32"/>
          <w:szCs w:val="32"/>
          <w:highlight w:val="none"/>
          <w:u w:val="single"/>
        </w:rPr>
        <w:t xml:space="preserve">（签字）      </w:t>
      </w:r>
      <w:r>
        <w:rPr>
          <w:rFonts w:hint="eastAsia" w:ascii="仿宋_GB2312" w:hAnsi="宋体" w:eastAsia="仿宋_GB2312"/>
          <w:sz w:val="24"/>
          <w:highlight w:val="none"/>
          <w:u w:val="single"/>
        </w:rPr>
        <w:t xml:space="preserve">    </w:t>
      </w:r>
    </w:p>
    <w:p>
      <w:pPr>
        <w:adjustRightInd w:val="0"/>
        <w:snapToGrid w:val="0"/>
        <w:spacing w:line="360" w:lineRule="auto"/>
        <w:ind w:firstLine="633" w:firstLineChars="198"/>
        <w:rPr>
          <w:rFonts w:hint="eastAsia" w:ascii="仿宋_GB2312" w:hAnsi="宋体" w:eastAsia="仿宋_GB2312"/>
          <w:sz w:val="24"/>
          <w:highlight w:val="none"/>
        </w:rPr>
      </w:pPr>
      <w:r>
        <w:rPr>
          <w:rFonts w:hint="eastAsia" w:ascii="仿宋_GB2312" w:hAnsi="宋体" w:eastAsia="仿宋_GB2312"/>
          <w:sz w:val="32"/>
          <w:szCs w:val="32"/>
          <w:highlight w:val="none"/>
        </w:rPr>
        <w:t>开户银行：</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w:t>
      </w:r>
      <w:r>
        <w:rPr>
          <w:rFonts w:hint="eastAsia" w:ascii="仿宋_GB2312" w:hAnsi="宋体" w:eastAsia="仿宋_GB2312"/>
          <w:sz w:val="32"/>
          <w:szCs w:val="32"/>
          <w:highlight w:val="none"/>
        </w:rPr>
        <w:t>开户银行：</w:t>
      </w:r>
      <w:r>
        <w:rPr>
          <w:rFonts w:hint="eastAsia" w:ascii="仿宋_GB2312" w:hAnsi="宋体" w:eastAsia="仿宋_GB2312"/>
          <w:sz w:val="24"/>
          <w:highlight w:val="none"/>
          <w:u w:val="single"/>
        </w:rPr>
        <w:t xml:space="preserve">                  </w:t>
      </w:r>
    </w:p>
    <w:p>
      <w:pPr>
        <w:adjustRightInd w:val="0"/>
        <w:snapToGrid w:val="0"/>
        <w:spacing w:line="360" w:lineRule="auto"/>
        <w:ind w:firstLine="633" w:firstLineChars="198"/>
        <w:rPr>
          <w:rFonts w:hint="eastAsia" w:ascii="仿宋_GB2312" w:hAnsi="宋体" w:eastAsia="仿宋_GB2312"/>
          <w:sz w:val="24"/>
          <w:highlight w:val="none"/>
        </w:rPr>
      </w:pPr>
      <w:r>
        <w:rPr>
          <w:rFonts w:hint="eastAsia" w:ascii="仿宋_GB2312" w:hAnsi="宋体" w:eastAsia="仿宋_GB2312"/>
          <w:sz w:val="32"/>
          <w:szCs w:val="32"/>
          <w:highlight w:val="none"/>
        </w:rPr>
        <w:t>账号：</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w:t>
      </w:r>
      <w:r>
        <w:rPr>
          <w:rFonts w:hint="eastAsia" w:ascii="仿宋_GB2312" w:hAnsi="宋体" w:eastAsia="仿宋_GB2312"/>
          <w:sz w:val="32"/>
          <w:szCs w:val="32"/>
          <w:highlight w:val="none"/>
        </w:rPr>
        <w:t>账号：</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w:t>
      </w:r>
      <w:r>
        <w:rPr>
          <w:rFonts w:hint="eastAsia" w:ascii="仿宋_GB2312" w:hAnsi="宋体" w:eastAsia="仿宋_GB2312"/>
          <w:sz w:val="24"/>
          <w:highlight w:val="none"/>
          <w:u w:val="single"/>
        </w:rPr>
        <w:t xml:space="preserve"> </w:t>
      </w:r>
    </w:p>
    <w:p>
      <w:pPr>
        <w:adjustRightInd w:val="0"/>
        <w:snapToGrid w:val="0"/>
        <w:spacing w:line="360" w:lineRule="auto"/>
        <w:ind w:firstLine="633" w:firstLineChars="198"/>
        <w:rPr>
          <w:rFonts w:hint="eastAsia" w:ascii="仿宋_GB2312" w:hAnsi="宋体" w:eastAsia="仿宋_GB2312"/>
          <w:sz w:val="24"/>
          <w:highlight w:val="none"/>
        </w:rPr>
      </w:pPr>
      <w:r>
        <w:rPr>
          <w:rFonts w:hint="eastAsia" w:ascii="仿宋_GB2312" w:hAnsi="宋体" w:eastAsia="仿宋_GB2312"/>
          <w:sz w:val="32"/>
          <w:szCs w:val="32"/>
          <w:highlight w:val="none"/>
        </w:rPr>
        <w:t>电话：</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w:t>
      </w:r>
      <w:r>
        <w:rPr>
          <w:rFonts w:hint="eastAsia" w:ascii="仿宋_GB2312" w:hAnsi="宋体" w:eastAsia="仿宋_GB2312"/>
          <w:sz w:val="32"/>
          <w:szCs w:val="32"/>
          <w:highlight w:val="none"/>
        </w:rPr>
        <w:t>电话：</w:t>
      </w:r>
      <w:r>
        <w:rPr>
          <w:rFonts w:hint="eastAsia" w:ascii="仿宋_GB2312" w:hAnsi="宋体" w:eastAsia="仿宋_GB2312"/>
          <w:sz w:val="24"/>
          <w:highlight w:val="none"/>
          <w:u w:val="single"/>
        </w:rPr>
        <w:t xml:space="preserve">                       </w:t>
      </w:r>
    </w:p>
    <w:p>
      <w:pPr>
        <w:adjustRightInd w:val="0"/>
        <w:snapToGrid w:val="0"/>
        <w:spacing w:line="360" w:lineRule="auto"/>
        <w:ind w:firstLine="633" w:firstLineChars="198"/>
        <w:rPr>
          <w:rFonts w:hint="eastAsia" w:ascii="仿宋_GB2312" w:hAnsi="宋体" w:eastAsia="仿宋_GB2312"/>
          <w:sz w:val="24"/>
          <w:highlight w:val="none"/>
        </w:rPr>
      </w:pPr>
      <w:r>
        <w:rPr>
          <w:rFonts w:hint="eastAsia" w:ascii="仿宋_GB2312" w:hAnsi="宋体" w:eastAsia="仿宋_GB2312"/>
          <w:sz w:val="32"/>
          <w:szCs w:val="32"/>
          <w:highlight w:val="none"/>
        </w:rPr>
        <w:t>传真：</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w:t>
      </w:r>
      <w:r>
        <w:rPr>
          <w:rFonts w:hint="eastAsia" w:ascii="仿宋_GB2312" w:hAnsi="宋体" w:eastAsia="仿宋_GB2312"/>
          <w:sz w:val="32"/>
          <w:szCs w:val="32"/>
          <w:highlight w:val="none"/>
        </w:rPr>
        <w:t>传真：</w:t>
      </w:r>
      <w:r>
        <w:rPr>
          <w:rFonts w:hint="eastAsia" w:ascii="仿宋_GB2312" w:hAnsi="宋体" w:eastAsia="仿宋_GB2312"/>
          <w:sz w:val="24"/>
          <w:highlight w:val="none"/>
          <w:u w:val="single"/>
        </w:rPr>
        <w:t xml:space="preserve">                       </w:t>
      </w:r>
    </w:p>
    <w:p>
      <w:pPr>
        <w:adjustRightInd w:val="0"/>
        <w:snapToGrid w:val="0"/>
        <w:spacing w:line="360" w:lineRule="auto"/>
        <w:ind w:firstLine="633" w:firstLineChars="198"/>
        <w:rPr>
          <w:rFonts w:hint="eastAsia" w:ascii="仿宋_GB2312" w:hAnsi="宋体" w:eastAsia="仿宋_GB2312"/>
          <w:sz w:val="24"/>
          <w:highlight w:val="none"/>
          <w:u w:val="single"/>
        </w:rPr>
      </w:pPr>
      <w:r>
        <w:rPr>
          <w:rFonts w:hint="eastAsia" w:ascii="仿宋_GB2312" w:hAnsi="宋体" w:eastAsia="仿宋_GB2312"/>
          <w:sz w:val="32"/>
          <w:szCs w:val="32"/>
          <w:highlight w:val="none"/>
        </w:rPr>
        <w:t>电子邮箱：</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w:t>
      </w:r>
      <w:r>
        <w:rPr>
          <w:rFonts w:hint="eastAsia" w:ascii="仿宋_GB2312" w:hAnsi="宋体" w:eastAsia="仿宋_GB2312"/>
          <w:sz w:val="32"/>
          <w:szCs w:val="32"/>
          <w:highlight w:val="none"/>
        </w:rPr>
        <w:t>电子邮箱：</w:t>
      </w:r>
      <w:r>
        <w:rPr>
          <w:rFonts w:hint="eastAsia" w:ascii="仿宋_GB2312" w:hAnsi="宋体" w:eastAsia="仿宋_GB2312"/>
          <w:sz w:val="24"/>
          <w:highlight w:val="none"/>
          <w:u w:val="single"/>
        </w:rPr>
        <w:t xml:space="preserve">                  </w:t>
      </w:r>
    </w:p>
    <w:p>
      <w:pPr>
        <w:pageBreakBefore/>
        <w:spacing w:line="360" w:lineRule="auto"/>
        <w:jc w:val="center"/>
        <w:rPr>
          <w:rFonts w:hint="eastAsia" w:ascii="华文中宋" w:hAnsi="华文中宋" w:eastAsia="华文中宋"/>
          <w:b/>
          <w:sz w:val="44"/>
          <w:szCs w:val="44"/>
          <w:highlight w:val="none"/>
        </w:rPr>
      </w:pPr>
      <w:r>
        <w:rPr>
          <w:rFonts w:hint="eastAsia" w:ascii="华文中宋" w:hAnsi="华文中宋" w:eastAsia="华文中宋"/>
          <w:b/>
          <w:sz w:val="44"/>
          <w:szCs w:val="44"/>
          <w:highlight w:val="none"/>
        </w:rPr>
        <w:t>第二部分  通用条件</w:t>
      </w:r>
    </w:p>
    <w:p>
      <w:pPr>
        <w:spacing w:line="360" w:lineRule="auto"/>
        <w:jc w:val="center"/>
        <w:rPr>
          <w:rFonts w:hint="eastAsia" w:ascii="仿宋_GB2312" w:hAnsi="宋体" w:eastAsia="仿宋_GB2312"/>
          <w:b/>
          <w:sz w:val="24"/>
          <w:highlight w:val="none"/>
        </w:rPr>
      </w:pPr>
    </w:p>
    <w:p>
      <w:pPr>
        <w:spacing w:line="360" w:lineRule="auto"/>
        <w:rPr>
          <w:rFonts w:hint="eastAsia" w:ascii="仿宋_GB2312" w:hAnsi="黑体" w:eastAsia="仿宋_GB2312"/>
          <w:b/>
          <w:sz w:val="32"/>
          <w:szCs w:val="32"/>
          <w:highlight w:val="none"/>
        </w:rPr>
      </w:pPr>
      <w:r>
        <w:rPr>
          <w:rFonts w:hint="eastAsia" w:ascii="仿宋_GB2312" w:hAnsi="黑体" w:eastAsia="仿宋_GB2312"/>
          <w:b/>
          <w:sz w:val="32"/>
          <w:szCs w:val="32"/>
          <w:highlight w:val="none"/>
        </w:rPr>
        <w:t>1. 定义与解释</w:t>
      </w:r>
    </w:p>
    <w:p>
      <w:pPr>
        <w:spacing w:line="360" w:lineRule="auto"/>
        <w:ind w:left="21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1.1 </w:t>
      </w:r>
      <w:r>
        <w:rPr>
          <w:rFonts w:hint="eastAsia" w:ascii="仿宋_GB2312" w:hAnsi="宋体" w:eastAsia="仿宋_GB2312"/>
          <w:bCs/>
          <w:sz w:val="32"/>
          <w:szCs w:val="32"/>
          <w:highlight w:val="none"/>
        </w:rPr>
        <w:t>定义</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除根据上下文另有其意义外</w:t>
      </w:r>
      <w:r>
        <w:rPr>
          <w:rFonts w:hint="eastAsia" w:ascii="仿宋_GB2312" w:eastAsia="仿宋_GB2312"/>
          <w:sz w:val="32"/>
          <w:szCs w:val="32"/>
          <w:highlight w:val="none"/>
        </w:rPr>
        <w:t>，组成</w:t>
      </w:r>
      <w:r>
        <w:rPr>
          <w:rFonts w:hint="eastAsia" w:ascii="仿宋_GB2312" w:hAnsi="宋体" w:eastAsia="仿宋_GB2312"/>
          <w:sz w:val="32"/>
          <w:szCs w:val="32"/>
          <w:highlight w:val="none"/>
        </w:rPr>
        <w:t>本合同</w:t>
      </w:r>
      <w:r>
        <w:rPr>
          <w:rFonts w:hint="eastAsia" w:ascii="仿宋_GB2312" w:eastAsia="仿宋_GB2312"/>
          <w:sz w:val="32"/>
          <w:szCs w:val="32"/>
          <w:highlight w:val="none"/>
        </w:rPr>
        <w:t>的全部文件中的</w:t>
      </w:r>
      <w:r>
        <w:rPr>
          <w:rFonts w:hint="eastAsia" w:ascii="仿宋_GB2312" w:hAnsi="宋体" w:eastAsia="仿宋_GB2312"/>
          <w:sz w:val="32"/>
          <w:szCs w:val="32"/>
          <w:highlight w:val="none"/>
        </w:rPr>
        <w:t>下列名词和用语应具有本款所赋予的含义</w:t>
      </w:r>
      <w:r>
        <w:rPr>
          <w:rFonts w:hint="eastAsia" w:ascii="仿宋_GB2312" w:eastAsia="仿宋_GB2312"/>
          <w:sz w:val="32"/>
          <w:szCs w:val="32"/>
          <w:highlight w:val="none"/>
        </w:rPr>
        <w:t>：</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1.1.1 </w:t>
      </w:r>
      <w:r>
        <w:rPr>
          <w:rFonts w:hint="eastAsia" w:ascii="仿宋_GB2312" w:hAnsi="宋体" w:eastAsia="仿宋_GB2312"/>
          <w:sz w:val="32"/>
          <w:szCs w:val="32"/>
          <w:highlight w:val="none"/>
        </w:rPr>
        <w:t>“</w:t>
      </w:r>
      <w:r>
        <w:rPr>
          <w:rFonts w:hint="eastAsia" w:ascii="仿宋_GB2312" w:eastAsia="仿宋_GB2312"/>
          <w:sz w:val="32"/>
          <w:szCs w:val="32"/>
          <w:highlight w:val="none"/>
        </w:rPr>
        <w:t>工程</w:t>
      </w:r>
      <w:r>
        <w:rPr>
          <w:rFonts w:hint="eastAsia" w:ascii="仿宋_GB2312" w:hAnsi="宋体" w:eastAsia="仿宋_GB2312"/>
          <w:sz w:val="32"/>
          <w:szCs w:val="32"/>
          <w:highlight w:val="none"/>
        </w:rPr>
        <w:t>”</w:t>
      </w:r>
      <w:r>
        <w:rPr>
          <w:rFonts w:hint="eastAsia" w:ascii="仿宋_GB2312" w:eastAsia="仿宋_GB2312"/>
          <w:sz w:val="32"/>
          <w:szCs w:val="32"/>
          <w:highlight w:val="none"/>
        </w:rPr>
        <w:t>是指按照本合同约定实施监理与相关服务的建设</w:t>
      </w:r>
      <w:r>
        <w:rPr>
          <w:rFonts w:hint="eastAsia" w:ascii="仿宋_GB2312" w:hAnsi="ˎ̥" w:eastAsia="仿宋_GB2312"/>
          <w:sz w:val="32"/>
          <w:szCs w:val="32"/>
          <w:highlight w:val="none"/>
        </w:rPr>
        <w:t>工程</w:t>
      </w:r>
      <w:r>
        <w:rPr>
          <w:rFonts w:hint="eastAsia" w:ascii="仿宋_GB2312" w:eastAsia="仿宋_GB2312"/>
          <w:sz w:val="32"/>
          <w:szCs w:val="32"/>
          <w:highlight w:val="none"/>
        </w:rPr>
        <w:t>。</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1.1.2 “委托人”</w:t>
      </w:r>
      <w:r>
        <w:rPr>
          <w:rFonts w:hint="eastAsia" w:ascii="仿宋_GB2312" w:hAnsi="宋体" w:eastAsia="仿宋_GB2312"/>
          <w:sz w:val="32"/>
          <w:szCs w:val="32"/>
          <w:highlight w:val="none"/>
        </w:rPr>
        <w:t>是指本合同中委托监理与相关服务的一方，及其合法的继承人或受让人。</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1.1.3 </w:t>
      </w:r>
      <w:r>
        <w:rPr>
          <w:rFonts w:hint="eastAsia" w:ascii="仿宋_GB2312" w:hAnsi="宋体" w:eastAsia="仿宋_GB2312"/>
          <w:sz w:val="32"/>
          <w:szCs w:val="32"/>
          <w:highlight w:val="none"/>
        </w:rPr>
        <w:t>“监理人”是指本合同中提供监理与相关服务的一方，及其合法的继承人。</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1.1.4 “承包人”是指在工程范围内与委托人签订勘察、设计、施工等有关合同的当事人，及其合法的继承人。</w:t>
      </w:r>
    </w:p>
    <w:p>
      <w:pPr>
        <w:pStyle w:val="21"/>
        <w:spacing w:line="360" w:lineRule="auto"/>
        <w:ind w:firstLine="570"/>
        <w:rPr>
          <w:rFonts w:hint="eastAsia" w:ascii="仿宋_GB2312" w:eastAsia="仿宋_GB2312"/>
          <w:sz w:val="32"/>
          <w:szCs w:val="32"/>
          <w:highlight w:val="none"/>
        </w:rPr>
      </w:pPr>
      <w:r>
        <w:rPr>
          <w:rFonts w:hint="eastAsia" w:ascii="仿宋_GB2312" w:eastAsia="仿宋_GB2312"/>
          <w:sz w:val="32"/>
          <w:szCs w:val="32"/>
          <w:highlight w:val="none"/>
        </w:rPr>
        <w:t>1.1.5</w:t>
      </w:r>
      <w:r>
        <w:rPr>
          <w:rFonts w:hint="eastAsia" w:ascii="仿宋_GB2312" w:hAnsi="宋体" w:eastAsia="仿宋_GB2312"/>
          <w:sz w:val="32"/>
          <w:szCs w:val="32"/>
          <w:highlight w:val="none"/>
        </w:rPr>
        <w:t xml:space="preserve"> “监理”是指监理人受</w:t>
      </w:r>
      <w:r>
        <w:rPr>
          <w:rFonts w:hint="eastAsia" w:ascii="仿宋_GB2312" w:eastAsia="仿宋_GB2312"/>
          <w:sz w:val="32"/>
          <w:szCs w:val="32"/>
          <w:highlight w:val="none"/>
        </w:rPr>
        <w:t xml:space="preserve">委托人的委托 </w:t>
      </w:r>
      <w:r>
        <w:rPr>
          <w:rFonts w:hint="eastAsia" w:ascii="仿宋_GB2312" w:hAnsi="宋体" w:eastAsia="仿宋_GB2312"/>
          <w:sz w:val="32"/>
          <w:szCs w:val="32"/>
          <w:highlight w:val="none"/>
        </w:rPr>
        <w:t>，</w:t>
      </w:r>
      <w:r>
        <w:rPr>
          <w:rFonts w:hint="eastAsia" w:ascii="仿宋_GB2312" w:eastAsia="仿宋_GB2312"/>
          <w:sz w:val="32"/>
          <w:szCs w:val="32"/>
          <w:highlight w:val="none"/>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1.1.6</w:t>
      </w:r>
      <w:r>
        <w:rPr>
          <w:rFonts w:hint="eastAsia" w:ascii="仿宋_GB2312" w:hAnsi="宋体" w:eastAsia="仿宋_GB2312"/>
          <w:sz w:val="32"/>
          <w:szCs w:val="32"/>
          <w:highlight w:val="none"/>
        </w:rPr>
        <w:t xml:space="preserve"> “相关服务”是指监理人受</w:t>
      </w:r>
      <w:r>
        <w:rPr>
          <w:rFonts w:hint="eastAsia" w:ascii="仿宋_GB2312" w:eastAsia="仿宋_GB2312"/>
          <w:sz w:val="32"/>
          <w:szCs w:val="32"/>
          <w:highlight w:val="none"/>
        </w:rPr>
        <w:t xml:space="preserve">委托人的委托 </w:t>
      </w:r>
      <w:r>
        <w:rPr>
          <w:rFonts w:hint="eastAsia" w:ascii="仿宋_GB2312" w:hAnsi="宋体" w:eastAsia="仿宋_GB2312"/>
          <w:sz w:val="32"/>
          <w:szCs w:val="32"/>
          <w:highlight w:val="none"/>
        </w:rPr>
        <w:t>，</w:t>
      </w:r>
      <w:r>
        <w:rPr>
          <w:rFonts w:hint="eastAsia" w:ascii="仿宋_GB2312" w:eastAsia="仿宋_GB2312"/>
          <w:sz w:val="32"/>
          <w:szCs w:val="32"/>
          <w:highlight w:val="none"/>
        </w:rPr>
        <w:t>按照本合同约定，在勘察、设计、保修等阶段提供的服务活动</w:t>
      </w:r>
      <w:r>
        <w:rPr>
          <w:rFonts w:hint="eastAsia" w:ascii="仿宋_GB2312" w:hAnsi="宋体" w:eastAsia="仿宋_GB2312"/>
          <w:sz w:val="32"/>
          <w:szCs w:val="32"/>
          <w:highlight w:val="none"/>
        </w:rPr>
        <w:t>。</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1.1.7</w:t>
      </w:r>
      <w:r>
        <w:rPr>
          <w:rFonts w:hint="eastAsia" w:ascii="仿宋_GB2312" w:hAnsi="宋体" w:eastAsia="仿宋_GB2312"/>
          <w:sz w:val="32"/>
          <w:szCs w:val="32"/>
          <w:highlight w:val="none"/>
        </w:rPr>
        <w:t xml:space="preserve"> “正常工作”指本合同订立时通用条件和专用条件中约定的监理人的</w:t>
      </w:r>
      <w:r>
        <w:rPr>
          <w:rFonts w:hint="eastAsia" w:ascii="仿宋_GB2312" w:hAnsi="宋体" w:eastAsia="仿宋_GB2312"/>
          <w:color w:val="000000"/>
          <w:sz w:val="32"/>
          <w:szCs w:val="32"/>
          <w:highlight w:val="none"/>
        </w:rPr>
        <w:t>工作</w:t>
      </w:r>
      <w:r>
        <w:rPr>
          <w:rFonts w:hint="eastAsia" w:ascii="仿宋_GB2312" w:hAnsi="宋体" w:eastAsia="仿宋_GB2312"/>
          <w:sz w:val="32"/>
          <w:szCs w:val="32"/>
          <w:highlight w:val="none"/>
        </w:rPr>
        <w:t>。</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1.1.8</w:t>
      </w:r>
      <w:r>
        <w:rPr>
          <w:rFonts w:hint="eastAsia" w:ascii="仿宋_GB2312" w:hAnsi="宋体" w:eastAsia="仿宋_GB2312"/>
          <w:sz w:val="32"/>
          <w:szCs w:val="32"/>
          <w:highlight w:val="none"/>
        </w:rPr>
        <w:t xml:space="preserve"> “附加工作”是指本合同约定的正常工作以外监理人的工作。</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1.1.9</w:t>
      </w:r>
      <w:r>
        <w:rPr>
          <w:rFonts w:hint="eastAsia" w:ascii="仿宋_GB2312" w:hAnsi="宋体" w:eastAsia="仿宋_GB2312"/>
          <w:sz w:val="32"/>
          <w:szCs w:val="32"/>
          <w:highlight w:val="none"/>
        </w:rPr>
        <w:t xml:space="preserve"> “项目监理机构”是指监理人派驻工程负责履行本合同的组织机构。</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1.1.10 </w:t>
      </w:r>
      <w:r>
        <w:rPr>
          <w:rFonts w:hint="eastAsia" w:ascii="仿宋_GB2312" w:hAnsi="宋体" w:eastAsia="仿宋_GB2312"/>
          <w:sz w:val="32"/>
          <w:szCs w:val="32"/>
          <w:highlight w:val="none"/>
        </w:rPr>
        <w:t>“总监理工程师”是指由监理人的法定代表人书面授权，全面负责履行本合同、主持项目监理机构工作的注册监理工程师。</w:t>
      </w:r>
    </w:p>
    <w:p>
      <w:pPr>
        <w:adjustRightInd w:val="0"/>
        <w:snapToGrid w:val="0"/>
        <w:spacing w:line="360" w:lineRule="auto"/>
        <w:ind w:firstLine="633" w:firstLineChars="198"/>
        <w:rPr>
          <w:rFonts w:hint="eastAsia" w:ascii="仿宋_GB2312" w:hAnsi="宋体" w:eastAsia="仿宋_GB2312"/>
          <w:sz w:val="32"/>
          <w:szCs w:val="32"/>
          <w:highlight w:val="none"/>
        </w:rPr>
      </w:pPr>
      <w:r>
        <w:rPr>
          <w:rFonts w:hint="eastAsia" w:ascii="仿宋_GB2312" w:eastAsia="仿宋_GB2312"/>
          <w:sz w:val="32"/>
          <w:szCs w:val="32"/>
          <w:highlight w:val="none"/>
        </w:rPr>
        <w:t>1.1.11</w:t>
      </w:r>
      <w:r>
        <w:rPr>
          <w:rFonts w:hint="eastAsia" w:ascii="仿宋_GB2312" w:hAnsi="宋体" w:eastAsia="仿宋_GB2312"/>
          <w:sz w:val="32"/>
          <w:szCs w:val="32"/>
          <w:highlight w:val="none"/>
        </w:rPr>
        <w:t xml:space="preserve"> “酬金”是指监理人履行本合同义务，委托人按照本合同约定给付监理人的金额。</w:t>
      </w:r>
    </w:p>
    <w:p>
      <w:pPr>
        <w:adjustRightInd w:val="0"/>
        <w:snapToGrid w:val="0"/>
        <w:spacing w:line="360" w:lineRule="auto"/>
        <w:ind w:firstLine="633" w:firstLineChars="198"/>
        <w:rPr>
          <w:rFonts w:hint="eastAsia" w:ascii="仿宋_GB2312" w:hAnsi="宋体" w:eastAsia="仿宋_GB2312"/>
          <w:sz w:val="32"/>
          <w:szCs w:val="32"/>
          <w:highlight w:val="none"/>
        </w:rPr>
      </w:pPr>
      <w:r>
        <w:rPr>
          <w:rFonts w:hint="eastAsia" w:ascii="仿宋_GB2312" w:eastAsia="仿宋_GB2312"/>
          <w:sz w:val="32"/>
          <w:szCs w:val="32"/>
          <w:highlight w:val="none"/>
        </w:rPr>
        <w:t xml:space="preserve">1.1.12 </w:t>
      </w:r>
      <w:r>
        <w:rPr>
          <w:rFonts w:hint="eastAsia" w:ascii="仿宋_GB2312" w:hAnsi="宋体" w:eastAsia="仿宋_GB2312"/>
          <w:sz w:val="32"/>
          <w:szCs w:val="32"/>
          <w:highlight w:val="none"/>
        </w:rPr>
        <w:t>“正常工作</w:t>
      </w:r>
      <w:r>
        <w:rPr>
          <w:rFonts w:hint="eastAsia" w:ascii="仿宋_GB2312" w:hAnsi="ˎ̥" w:eastAsia="仿宋_GB2312" w:cs="宋体"/>
          <w:kern w:val="0"/>
          <w:sz w:val="32"/>
          <w:szCs w:val="32"/>
          <w:highlight w:val="none"/>
        </w:rPr>
        <w:t>酬金”</w:t>
      </w:r>
      <w:r>
        <w:rPr>
          <w:rFonts w:hint="eastAsia" w:ascii="仿宋_GB2312" w:hAnsi="宋体" w:eastAsia="仿宋_GB2312"/>
          <w:sz w:val="32"/>
          <w:szCs w:val="32"/>
          <w:highlight w:val="none"/>
        </w:rPr>
        <w:t>是指监理人完成正常工作，委托人应给付监理人并在协议书中载明的签约</w:t>
      </w:r>
      <w:r>
        <w:rPr>
          <w:rFonts w:hint="eastAsia" w:ascii="仿宋_GB2312" w:hAnsi="ˎ̥" w:eastAsia="仿宋_GB2312" w:cs="宋体"/>
          <w:kern w:val="0"/>
          <w:sz w:val="32"/>
          <w:szCs w:val="32"/>
          <w:highlight w:val="none"/>
        </w:rPr>
        <w:t>酬金额</w:t>
      </w:r>
      <w:r>
        <w:rPr>
          <w:rFonts w:hint="eastAsia" w:ascii="仿宋_GB2312" w:hAnsi="宋体" w:eastAsia="仿宋_GB2312"/>
          <w:sz w:val="32"/>
          <w:szCs w:val="32"/>
          <w:highlight w:val="none"/>
        </w:rPr>
        <w:t>。</w:t>
      </w:r>
    </w:p>
    <w:p>
      <w:pPr>
        <w:adjustRightInd w:val="0"/>
        <w:snapToGrid w:val="0"/>
        <w:spacing w:line="360" w:lineRule="auto"/>
        <w:ind w:firstLine="633" w:firstLineChars="198"/>
        <w:rPr>
          <w:rFonts w:hint="eastAsia" w:ascii="仿宋_GB2312" w:hAnsi="宋体" w:eastAsia="仿宋_GB2312"/>
          <w:sz w:val="32"/>
          <w:szCs w:val="32"/>
          <w:highlight w:val="none"/>
        </w:rPr>
      </w:pPr>
      <w:r>
        <w:rPr>
          <w:rFonts w:hint="eastAsia" w:ascii="仿宋_GB2312" w:eastAsia="仿宋_GB2312"/>
          <w:sz w:val="32"/>
          <w:szCs w:val="32"/>
          <w:highlight w:val="none"/>
        </w:rPr>
        <w:t xml:space="preserve">1.1.13 </w:t>
      </w:r>
      <w:r>
        <w:rPr>
          <w:rFonts w:hint="eastAsia" w:ascii="仿宋_GB2312" w:hAnsi="宋体" w:eastAsia="仿宋_GB2312"/>
          <w:sz w:val="32"/>
          <w:szCs w:val="32"/>
          <w:highlight w:val="none"/>
        </w:rPr>
        <w:t>“附加工作酬金”是指监理人完成附加工作，委托人应给付监理人的金额。</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1.1.14 </w:t>
      </w:r>
      <w:r>
        <w:rPr>
          <w:rFonts w:hint="eastAsia" w:ascii="仿宋_GB2312" w:hAnsi="宋体" w:eastAsia="仿宋_GB2312"/>
          <w:sz w:val="32"/>
          <w:szCs w:val="32"/>
          <w:highlight w:val="none"/>
        </w:rPr>
        <w:t>“一方”是指委托人或监理人</w:t>
      </w:r>
      <w:r>
        <w:rPr>
          <w:rFonts w:hint="eastAsia" w:ascii="仿宋_GB2312" w:eastAsia="仿宋_GB2312"/>
          <w:sz w:val="32"/>
          <w:szCs w:val="32"/>
          <w:highlight w:val="none"/>
        </w:rPr>
        <w:t>；</w:t>
      </w:r>
      <w:r>
        <w:rPr>
          <w:rFonts w:hint="eastAsia" w:ascii="仿宋_GB2312" w:hAnsi="宋体" w:eastAsia="仿宋_GB2312"/>
          <w:sz w:val="32"/>
          <w:szCs w:val="32"/>
          <w:highlight w:val="none"/>
        </w:rPr>
        <w:t>“双方”是指委托人和监理人</w:t>
      </w:r>
      <w:r>
        <w:rPr>
          <w:rFonts w:hint="eastAsia" w:ascii="仿宋_GB2312" w:eastAsia="仿宋_GB2312"/>
          <w:sz w:val="32"/>
          <w:szCs w:val="32"/>
          <w:highlight w:val="none"/>
        </w:rPr>
        <w:t>；</w:t>
      </w:r>
      <w:r>
        <w:rPr>
          <w:rFonts w:hint="eastAsia" w:ascii="仿宋_GB2312" w:hAnsi="宋体" w:eastAsia="仿宋_GB2312"/>
          <w:sz w:val="32"/>
          <w:szCs w:val="32"/>
          <w:highlight w:val="none"/>
        </w:rPr>
        <w:t>“第三方”是指除委托人和监理人以外的有关方。</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1.1.15 “书面形式”是指合同书、信件和数据电文（包括电报、电传、传真、电子数据交换和电子邮件）等可以有形地表现所载内容的形式。</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1.1.16 </w:t>
      </w:r>
      <w:r>
        <w:rPr>
          <w:rFonts w:hint="eastAsia" w:ascii="仿宋_GB2312" w:hAnsi="宋体" w:eastAsia="仿宋_GB2312"/>
          <w:sz w:val="32"/>
          <w:szCs w:val="32"/>
          <w:highlight w:val="none"/>
        </w:rPr>
        <w:t>“天”是指第一天零时至第二天零时的时间。</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1.1.17</w:t>
      </w:r>
      <w:r>
        <w:rPr>
          <w:rFonts w:hint="eastAsia" w:ascii="仿宋_GB2312" w:hAnsi="宋体" w:eastAsia="仿宋_GB2312"/>
          <w:sz w:val="32"/>
          <w:szCs w:val="32"/>
          <w:highlight w:val="none"/>
        </w:rPr>
        <w:t>“月”是指按公历从一个月中任何一天开始的一个公历月时间。</w:t>
      </w:r>
    </w:p>
    <w:p>
      <w:pPr>
        <w:adjustRightInd w:val="0"/>
        <w:snapToGrid w:val="0"/>
        <w:spacing w:line="360" w:lineRule="auto"/>
        <w:ind w:firstLine="645"/>
        <w:rPr>
          <w:rFonts w:hint="eastAsia"/>
          <w:sz w:val="30"/>
          <w:szCs w:val="30"/>
          <w:highlight w:val="none"/>
        </w:rPr>
      </w:pPr>
      <w:r>
        <w:rPr>
          <w:rFonts w:hint="eastAsia" w:ascii="仿宋_GB2312" w:eastAsia="仿宋_GB2312"/>
          <w:sz w:val="32"/>
          <w:szCs w:val="32"/>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left="210" w:leftChars="100"/>
        <w:rPr>
          <w:rFonts w:hint="eastAsia" w:ascii="仿宋_GB2312" w:eastAsia="仿宋_GB2312"/>
          <w:sz w:val="32"/>
          <w:szCs w:val="32"/>
          <w:highlight w:val="none"/>
        </w:rPr>
      </w:pPr>
      <w:r>
        <w:rPr>
          <w:rFonts w:hint="eastAsia" w:ascii="仿宋_GB2312" w:eastAsia="仿宋_GB2312"/>
          <w:bCs/>
          <w:sz w:val="32"/>
          <w:szCs w:val="32"/>
          <w:highlight w:val="none"/>
        </w:rPr>
        <w:t xml:space="preserve">1.2 </w:t>
      </w:r>
      <w:r>
        <w:rPr>
          <w:rFonts w:hint="eastAsia" w:ascii="仿宋_GB2312" w:hAnsi="宋体" w:eastAsia="仿宋_GB2312"/>
          <w:sz w:val="32"/>
          <w:szCs w:val="32"/>
          <w:highlight w:val="none"/>
        </w:rPr>
        <w:t>解释</w:t>
      </w:r>
    </w:p>
    <w:p>
      <w:pPr>
        <w:tabs>
          <w:tab w:val="left" w:pos="6140"/>
        </w:tabs>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1.2.1</w:t>
      </w:r>
      <w:r>
        <w:rPr>
          <w:rFonts w:hint="eastAsia" w:ascii="仿宋_GB2312" w:hAnsi="宋体" w:eastAsia="仿宋_GB2312"/>
          <w:sz w:val="32"/>
          <w:szCs w:val="32"/>
          <w:highlight w:val="none"/>
        </w:rPr>
        <w:t>本合同使用中文书写、解释和说明。如专用条件约定使用两种及以上语言文字时，应以中文为准。</w:t>
      </w:r>
    </w:p>
    <w:p>
      <w:pPr>
        <w:tabs>
          <w:tab w:val="left" w:pos="6140"/>
        </w:tabs>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1.2.2 </w:t>
      </w:r>
      <w:r>
        <w:rPr>
          <w:rFonts w:hint="eastAsia" w:ascii="仿宋_GB2312" w:hAnsi="宋体" w:eastAsia="仿宋_GB2312"/>
          <w:sz w:val="32"/>
          <w:szCs w:val="32"/>
          <w:highlight w:val="none"/>
        </w:rPr>
        <w:t>组成本合同的下列文件彼此应能相互解释、互为说明。除专用条件另有约定外，本合同文件的解释顺序如下：</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w:t>
      </w:r>
      <w:r>
        <w:rPr>
          <w:rFonts w:hint="eastAsia" w:ascii="仿宋_GB2312" w:hAnsi="宋体" w:eastAsia="仿宋_GB2312"/>
          <w:sz w:val="32"/>
          <w:szCs w:val="32"/>
          <w:highlight w:val="none"/>
        </w:rPr>
        <w:t>）协议书；</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2</w:t>
      </w:r>
      <w:r>
        <w:rPr>
          <w:rFonts w:hint="eastAsia" w:ascii="仿宋_GB2312" w:hAnsi="宋体" w:eastAsia="仿宋_GB2312"/>
          <w:sz w:val="32"/>
          <w:szCs w:val="32"/>
          <w:highlight w:val="none"/>
        </w:rPr>
        <w:t>）中标通知书（适用于招标工程）或委托书（适用于非招标工程）；</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（3）专用条件及附录</w:t>
      </w:r>
      <w:r>
        <w:rPr>
          <w:rFonts w:hint="eastAsia" w:ascii="仿宋_GB2312" w:eastAsia="仿宋_GB2312"/>
          <w:sz w:val="32"/>
          <w:szCs w:val="32"/>
          <w:highlight w:val="none"/>
        </w:rPr>
        <w:t>A</w:t>
      </w:r>
      <w:r>
        <w:rPr>
          <w:rFonts w:hint="eastAsia" w:ascii="仿宋_GB2312" w:hAnsi="宋体" w:eastAsia="仿宋_GB2312"/>
          <w:sz w:val="32"/>
          <w:szCs w:val="32"/>
          <w:highlight w:val="none"/>
        </w:rPr>
        <w:t>、附录</w:t>
      </w:r>
      <w:r>
        <w:rPr>
          <w:rFonts w:hint="eastAsia" w:ascii="仿宋_GB2312" w:eastAsia="仿宋_GB2312"/>
          <w:sz w:val="32"/>
          <w:szCs w:val="32"/>
          <w:highlight w:val="none"/>
        </w:rPr>
        <w:t>B</w:t>
      </w:r>
      <w:r>
        <w:rPr>
          <w:rFonts w:hint="eastAsia" w:ascii="仿宋_GB2312" w:hAnsi="宋体" w:eastAsia="仿宋_GB2312"/>
          <w:sz w:val="32"/>
          <w:szCs w:val="32"/>
          <w:highlight w:val="none"/>
        </w:rPr>
        <w:t>；</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4</w:t>
      </w:r>
      <w:r>
        <w:rPr>
          <w:rFonts w:hint="eastAsia" w:ascii="仿宋_GB2312" w:hAnsi="宋体" w:eastAsia="仿宋_GB2312"/>
          <w:sz w:val="32"/>
          <w:szCs w:val="32"/>
          <w:highlight w:val="none"/>
        </w:rPr>
        <w:t>）通用条件；</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（5）投标文件（适用于招标工程）或监理与相关服务建议书（适用于非招标工程）。</w:t>
      </w:r>
    </w:p>
    <w:p>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双方签订的补充协议与其他文件发生矛盾或歧义时，属于同一类内容的文件，应以最新签署的为准。</w:t>
      </w:r>
    </w:p>
    <w:p>
      <w:pPr>
        <w:spacing w:line="360" w:lineRule="auto"/>
        <w:rPr>
          <w:rFonts w:hint="eastAsia" w:ascii="仿宋_GB2312" w:hAnsi="黑体" w:eastAsia="仿宋_GB2312"/>
          <w:b/>
          <w:sz w:val="32"/>
          <w:szCs w:val="32"/>
          <w:highlight w:val="none"/>
        </w:rPr>
      </w:pPr>
      <w:r>
        <w:rPr>
          <w:rFonts w:hint="eastAsia" w:ascii="仿宋_GB2312" w:hAnsi="黑体" w:eastAsia="仿宋_GB2312"/>
          <w:b/>
          <w:sz w:val="32"/>
          <w:szCs w:val="32"/>
          <w:highlight w:val="none"/>
        </w:rPr>
        <w:t>2. 监理人的义务</w:t>
      </w:r>
    </w:p>
    <w:p>
      <w:pPr>
        <w:adjustRightInd w:val="0"/>
        <w:snapToGrid w:val="0"/>
        <w:spacing w:line="360" w:lineRule="auto"/>
        <w:ind w:left="21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2.1 </w:t>
      </w:r>
      <w:r>
        <w:rPr>
          <w:rFonts w:hint="eastAsia" w:ascii="仿宋_GB2312" w:hAnsi="宋体" w:eastAsia="仿宋_GB2312"/>
          <w:sz w:val="32"/>
          <w:szCs w:val="32"/>
          <w:highlight w:val="none"/>
        </w:rPr>
        <w:t>监理的范围和工作内容</w:t>
      </w:r>
    </w:p>
    <w:p>
      <w:pPr>
        <w:adjustRightInd w:val="0"/>
        <w:snapToGrid w:val="0"/>
        <w:spacing w:line="360" w:lineRule="auto"/>
        <w:ind w:left="420" w:left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2.1.1 监理范围在专用条件中约定。</w:t>
      </w:r>
    </w:p>
    <w:p>
      <w:pPr>
        <w:adjustRightInd w:val="0"/>
        <w:snapToGrid w:val="0"/>
        <w:spacing w:line="360" w:lineRule="auto"/>
        <w:ind w:left="420" w:leftChars="200"/>
        <w:rPr>
          <w:rFonts w:hint="eastAsia" w:ascii="仿宋_GB2312" w:eastAsia="仿宋_GB2312"/>
          <w:sz w:val="32"/>
          <w:szCs w:val="32"/>
          <w:highlight w:val="none"/>
        </w:rPr>
      </w:pPr>
      <w:r>
        <w:rPr>
          <w:rFonts w:hint="eastAsia" w:ascii="仿宋_GB2312" w:hAnsi="宋体" w:eastAsia="仿宋_GB2312"/>
          <w:sz w:val="32"/>
          <w:szCs w:val="32"/>
          <w:highlight w:val="none"/>
        </w:rPr>
        <w:t>2.1.2 除专用条件另有约定外，监理工作内容包括：</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w:t>
      </w:r>
      <w:r>
        <w:rPr>
          <w:rFonts w:hint="eastAsia" w:ascii="仿宋_GB2312" w:hAnsi="宋体" w:eastAsia="仿宋_GB2312"/>
          <w:sz w:val="32"/>
          <w:szCs w:val="32"/>
          <w:highlight w:val="none"/>
        </w:rPr>
        <w:t>）</w:t>
      </w:r>
      <w:r>
        <w:rPr>
          <w:rFonts w:hint="eastAsia" w:ascii="仿宋_GB2312" w:eastAsia="仿宋_GB2312"/>
          <w:sz w:val="32"/>
          <w:szCs w:val="32"/>
          <w:highlight w:val="none"/>
        </w:rPr>
        <w:t>收到工程设计文件后</w:t>
      </w:r>
      <w:r>
        <w:rPr>
          <w:rFonts w:hint="eastAsia" w:ascii="仿宋_GB2312" w:hAnsi="宋体" w:eastAsia="仿宋_GB2312"/>
          <w:sz w:val="32"/>
          <w:szCs w:val="32"/>
          <w:highlight w:val="none"/>
        </w:rPr>
        <w:t>编制监理规划，并在第一次工地会议7天前报委托人。根据有关规定和监理工作需要，编制监理实施细则；</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2</w:t>
      </w:r>
      <w:r>
        <w:rPr>
          <w:rFonts w:hint="eastAsia" w:ascii="仿宋_GB2312" w:hAnsi="宋体" w:eastAsia="仿宋_GB2312"/>
          <w:sz w:val="32"/>
          <w:szCs w:val="32"/>
          <w:highlight w:val="none"/>
        </w:rPr>
        <w:t>）熟悉工程设计文件，并参加由委托人主持的图纸会审和设计交底会议；</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3</w:t>
      </w:r>
      <w:r>
        <w:rPr>
          <w:rFonts w:hint="eastAsia" w:ascii="仿宋_GB2312" w:hAnsi="宋体" w:eastAsia="仿宋_GB2312"/>
          <w:sz w:val="32"/>
          <w:szCs w:val="32"/>
          <w:highlight w:val="none"/>
        </w:rPr>
        <w:t>）参加由委托人主持的第一次工地会议；主持监理例会并根据工程需要主持或参加专题会议；</w:t>
      </w:r>
    </w:p>
    <w:p>
      <w:pPr>
        <w:adjustRightInd w:val="0"/>
        <w:snapToGrid w:val="0"/>
        <w:spacing w:line="360" w:lineRule="auto"/>
        <w:rPr>
          <w:rFonts w:hint="eastAsia" w:ascii="仿宋_GB2312" w:eastAsia="仿宋_GB2312"/>
          <w:sz w:val="32"/>
          <w:szCs w:val="32"/>
          <w:highlight w:val="none"/>
        </w:rPr>
      </w:pP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4</w:t>
      </w:r>
      <w:r>
        <w:rPr>
          <w:rFonts w:hint="eastAsia" w:ascii="仿宋_GB2312" w:hAnsi="宋体" w:eastAsia="仿宋_GB2312"/>
          <w:sz w:val="32"/>
          <w:szCs w:val="32"/>
          <w:highlight w:val="none"/>
        </w:rPr>
        <w:t>）审查施工承包人提交的施工组织设计，重点审查其中的质量安全技术措施、专项施工方案与工程建设强制性标准的符合性；</w:t>
      </w:r>
    </w:p>
    <w:p>
      <w:pPr>
        <w:adjustRightInd w:val="0"/>
        <w:snapToGrid w:val="0"/>
        <w:spacing w:line="360" w:lineRule="auto"/>
        <w:ind w:firstLine="645"/>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5</w:t>
      </w:r>
      <w:r>
        <w:rPr>
          <w:rFonts w:hint="eastAsia" w:ascii="仿宋_GB2312" w:hAnsi="宋体" w:eastAsia="仿宋_GB2312"/>
          <w:sz w:val="32"/>
          <w:szCs w:val="32"/>
          <w:highlight w:val="none"/>
        </w:rPr>
        <w:t>）检查施工承包人工程质量、安全生产管理制度及组织机构和人员资格；</w:t>
      </w:r>
      <w:r>
        <w:rPr>
          <w:rFonts w:hint="eastAsia" w:ascii="仿宋_GB2312" w:eastAsia="仿宋_GB2312"/>
          <w:sz w:val="32"/>
          <w:szCs w:val="32"/>
          <w:highlight w:val="none"/>
        </w:rPr>
        <w:t xml:space="preserve"> </w:t>
      </w:r>
    </w:p>
    <w:p>
      <w:pPr>
        <w:adjustRightInd w:val="0"/>
        <w:snapToGrid w:val="0"/>
        <w:spacing w:line="360" w:lineRule="auto"/>
        <w:rPr>
          <w:rFonts w:hint="eastAsia" w:ascii="仿宋_GB2312" w:eastAsia="仿宋_GB2312"/>
          <w:sz w:val="32"/>
          <w:szCs w:val="32"/>
          <w:highlight w:val="none"/>
        </w:rPr>
      </w:pP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6</w:t>
      </w:r>
      <w:r>
        <w:rPr>
          <w:rFonts w:hint="eastAsia" w:ascii="仿宋_GB2312" w:hAnsi="宋体" w:eastAsia="仿宋_GB2312"/>
          <w:sz w:val="32"/>
          <w:szCs w:val="32"/>
          <w:highlight w:val="none"/>
        </w:rPr>
        <w:t>）检查施工承包人专职安全生产管理人员的配备情况；</w:t>
      </w:r>
    </w:p>
    <w:p>
      <w:pPr>
        <w:adjustRightInd w:val="0"/>
        <w:snapToGrid w:val="0"/>
        <w:spacing w:line="360" w:lineRule="auto"/>
        <w:rPr>
          <w:rFonts w:hint="eastAsia" w:ascii="仿宋_GB2312" w:eastAsia="仿宋_GB2312"/>
          <w:sz w:val="32"/>
          <w:szCs w:val="32"/>
          <w:highlight w:val="none"/>
        </w:rPr>
      </w:pP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7</w:t>
      </w:r>
      <w:r>
        <w:rPr>
          <w:rFonts w:hint="eastAsia" w:ascii="仿宋_GB2312" w:hAnsi="宋体" w:eastAsia="仿宋_GB2312"/>
          <w:sz w:val="32"/>
          <w:szCs w:val="32"/>
          <w:highlight w:val="none"/>
        </w:rPr>
        <w:t>）审查施工承包人提交的施工进度计划，核查承包人对施工进度计划的调整；</w:t>
      </w:r>
    </w:p>
    <w:p>
      <w:pPr>
        <w:adjustRightInd w:val="0"/>
        <w:snapToGrid w:val="0"/>
        <w:spacing w:line="360" w:lineRule="auto"/>
        <w:ind w:firstLine="645"/>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8</w:t>
      </w:r>
      <w:r>
        <w:rPr>
          <w:rFonts w:hint="eastAsia" w:ascii="仿宋_GB2312" w:hAnsi="宋体" w:eastAsia="仿宋_GB2312"/>
          <w:sz w:val="32"/>
          <w:szCs w:val="32"/>
          <w:highlight w:val="none"/>
        </w:rPr>
        <w:t>）检查施工承包人的试验室；</w:t>
      </w:r>
    </w:p>
    <w:p>
      <w:pPr>
        <w:adjustRightInd w:val="0"/>
        <w:snapToGrid w:val="0"/>
        <w:spacing w:line="360" w:lineRule="auto"/>
        <w:rPr>
          <w:rFonts w:hint="eastAsia" w:ascii="仿宋_GB2312" w:eastAsia="仿宋_GB2312"/>
          <w:sz w:val="32"/>
          <w:szCs w:val="32"/>
          <w:highlight w:val="none"/>
        </w:rPr>
      </w:pP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9</w:t>
      </w:r>
      <w:r>
        <w:rPr>
          <w:rFonts w:hint="eastAsia" w:ascii="仿宋_GB2312" w:hAnsi="宋体" w:eastAsia="仿宋_GB2312"/>
          <w:sz w:val="32"/>
          <w:szCs w:val="32"/>
          <w:highlight w:val="none"/>
        </w:rPr>
        <w:t>）审核施工分包人资质条件；</w:t>
      </w:r>
    </w:p>
    <w:p>
      <w:pPr>
        <w:rPr>
          <w:rFonts w:hint="eastAsia" w:ascii="仿宋_GB2312" w:hAnsi="宋体" w:eastAsia="仿宋_GB2312"/>
          <w:sz w:val="32"/>
          <w:szCs w:val="32"/>
          <w:highlight w:val="none"/>
        </w:rPr>
      </w:pP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10</w:t>
      </w:r>
      <w:r>
        <w:rPr>
          <w:rFonts w:hint="eastAsia" w:ascii="仿宋_GB2312" w:hAnsi="宋体" w:eastAsia="仿宋_GB2312"/>
          <w:sz w:val="32"/>
          <w:szCs w:val="32"/>
          <w:highlight w:val="none"/>
        </w:rPr>
        <w:t>）查验施工承包人的施工测量放线成果；</w:t>
      </w:r>
    </w:p>
    <w:p>
      <w:pPr>
        <w:adjustRightInd w:val="0"/>
        <w:snapToGrid w:val="0"/>
        <w:spacing w:line="360" w:lineRule="auto"/>
        <w:ind w:firstLine="645"/>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11</w:t>
      </w:r>
      <w:r>
        <w:rPr>
          <w:rFonts w:hint="eastAsia" w:ascii="仿宋_GB2312" w:hAnsi="宋体" w:eastAsia="仿宋_GB2312"/>
          <w:sz w:val="32"/>
          <w:szCs w:val="32"/>
          <w:highlight w:val="none"/>
        </w:rPr>
        <w:t>）审查工程开工条件</w:t>
      </w:r>
      <w:r>
        <w:rPr>
          <w:rFonts w:hint="eastAsia" w:ascii="仿宋_GB2312" w:eastAsia="仿宋_GB2312"/>
          <w:sz w:val="32"/>
          <w:szCs w:val="32"/>
          <w:highlight w:val="none"/>
        </w:rPr>
        <w:t>，对条件具备的</w:t>
      </w:r>
      <w:r>
        <w:rPr>
          <w:rFonts w:hint="eastAsia" w:ascii="仿宋_GB2312" w:hAnsi="宋体" w:eastAsia="仿宋_GB2312"/>
          <w:sz w:val="32"/>
          <w:szCs w:val="32"/>
          <w:highlight w:val="none"/>
        </w:rPr>
        <w:t>签发开工令；</w:t>
      </w:r>
    </w:p>
    <w:p>
      <w:pPr>
        <w:adjustRightInd w:val="0"/>
        <w:snapToGrid w:val="0"/>
        <w:spacing w:line="360" w:lineRule="auto"/>
        <w:ind w:firstLine="645"/>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12</w:t>
      </w:r>
      <w:r>
        <w:rPr>
          <w:rFonts w:hint="eastAsia" w:ascii="仿宋_GB2312" w:hAnsi="宋体" w:eastAsia="仿宋_GB2312"/>
          <w:sz w:val="32"/>
          <w:szCs w:val="32"/>
          <w:highlight w:val="none"/>
        </w:rPr>
        <w:t>）审查施工承包人报送的工程材料、构配件、设备质量证明文件的有效性和符合性，并按规定对用于工程的材料采取平行检验或见证取样方式进行抽检；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97" w:leftChars="-46"/>
        <w:rPr>
          <w:rFonts w:hint="eastAsia" w:ascii="仿宋_GB2312" w:hAnsi="宋体" w:eastAsia="仿宋_GB2312"/>
          <w:sz w:val="32"/>
          <w:szCs w:val="32"/>
          <w:highlight w:val="none"/>
        </w:rPr>
      </w:pP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13</w:t>
      </w:r>
      <w:r>
        <w:rPr>
          <w:rFonts w:hint="eastAsia" w:ascii="仿宋_GB2312" w:hAnsi="宋体" w:eastAsia="仿宋_GB2312"/>
          <w:sz w:val="32"/>
          <w:szCs w:val="32"/>
          <w:highlight w:val="none"/>
        </w:rPr>
        <w:t>）审核施工承包人提交的工程款支付申请，签发或出具工程款支付证书，并报委托人审核、批准；</w:t>
      </w:r>
    </w:p>
    <w:p>
      <w:pPr>
        <w:adjustRightInd w:val="0"/>
        <w:snapToGrid w:val="0"/>
        <w:spacing w:line="360" w:lineRule="auto"/>
        <w:ind w:firstLine="645"/>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14</w:t>
      </w:r>
      <w:r>
        <w:rPr>
          <w:rFonts w:hint="eastAsia" w:ascii="仿宋_GB2312" w:hAnsi="宋体" w:eastAsia="仿宋_GB2312"/>
          <w:sz w:val="32"/>
          <w:szCs w:val="32"/>
          <w:highlight w:val="none"/>
        </w:rPr>
        <w:t>）在巡视、旁站和检验过程中，发现工程质量、施工安全存在事故隐患的</w:t>
      </w:r>
      <w:r>
        <w:rPr>
          <w:rFonts w:hint="eastAsia" w:ascii="仿宋_GB2312" w:eastAsia="仿宋_GB2312"/>
          <w:sz w:val="32"/>
          <w:szCs w:val="32"/>
          <w:highlight w:val="none"/>
        </w:rPr>
        <w:t>，</w:t>
      </w:r>
      <w:r>
        <w:rPr>
          <w:rFonts w:hint="eastAsia" w:ascii="仿宋_GB2312" w:hAnsi="宋体" w:eastAsia="仿宋_GB2312"/>
          <w:sz w:val="32"/>
          <w:szCs w:val="32"/>
          <w:highlight w:val="none"/>
        </w:rPr>
        <w:t>要求施工承包人整改并报委托人；</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15</w:t>
      </w:r>
      <w:r>
        <w:rPr>
          <w:rFonts w:hint="eastAsia" w:ascii="仿宋_GB2312" w:hAnsi="宋体" w:eastAsia="仿宋_GB2312"/>
          <w:sz w:val="32"/>
          <w:szCs w:val="32"/>
          <w:highlight w:val="none"/>
        </w:rPr>
        <w:t>）经委托人同意，签发工程暂停令和复工令；</w:t>
      </w:r>
    </w:p>
    <w:p>
      <w:pPr>
        <w:adjustRightInd w:val="0"/>
        <w:snapToGrid w:val="0"/>
        <w:spacing w:line="360" w:lineRule="auto"/>
        <w:rPr>
          <w:rFonts w:hint="eastAsia" w:ascii="仿宋_GB2312" w:eastAsia="仿宋_GB2312"/>
          <w:sz w:val="32"/>
          <w:szCs w:val="32"/>
          <w:highlight w:val="none"/>
        </w:rPr>
      </w:pP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16</w:t>
      </w:r>
      <w:r>
        <w:rPr>
          <w:rFonts w:hint="eastAsia" w:ascii="仿宋_GB2312" w:hAnsi="宋体" w:eastAsia="仿宋_GB2312"/>
          <w:sz w:val="32"/>
          <w:szCs w:val="32"/>
          <w:highlight w:val="none"/>
        </w:rPr>
        <w:t>）审查施工承包人提交的采用新材料、新工艺、新技术、新设备的论证材料及相关验收标准；</w:t>
      </w:r>
    </w:p>
    <w:p>
      <w:pPr>
        <w:adjustRightInd w:val="0"/>
        <w:snapToGrid w:val="0"/>
        <w:spacing w:line="360" w:lineRule="auto"/>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17</w:t>
      </w:r>
      <w:r>
        <w:rPr>
          <w:rFonts w:hint="eastAsia" w:ascii="仿宋_GB2312" w:hAnsi="宋体" w:eastAsia="仿宋_GB2312"/>
          <w:sz w:val="32"/>
          <w:szCs w:val="32"/>
          <w:highlight w:val="none"/>
        </w:rPr>
        <w:t>）验收隐蔽工程、分部分项工程；</w:t>
      </w:r>
    </w:p>
    <w:p>
      <w:pPr>
        <w:adjustRightInd w:val="0"/>
        <w:snapToGrid w:val="0"/>
        <w:spacing w:line="360" w:lineRule="auto"/>
        <w:rPr>
          <w:rFonts w:hint="eastAsia" w:ascii="仿宋_GB2312" w:eastAsia="仿宋_GB2312"/>
          <w:sz w:val="32"/>
          <w:szCs w:val="32"/>
          <w:highlight w:val="none"/>
        </w:rPr>
      </w:pP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18</w:t>
      </w:r>
      <w:r>
        <w:rPr>
          <w:rFonts w:hint="eastAsia" w:ascii="仿宋_GB2312" w:hAnsi="宋体" w:eastAsia="仿宋_GB2312"/>
          <w:sz w:val="32"/>
          <w:szCs w:val="32"/>
          <w:highlight w:val="none"/>
        </w:rPr>
        <w:t>）审查施工承包人提交的工程变更申请，协调处理施工进度调整、费用索赔、合同争议等事项；</w:t>
      </w:r>
    </w:p>
    <w:p>
      <w:pPr>
        <w:adjustRightInd w:val="0"/>
        <w:snapToGrid w:val="0"/>
        <w:spacing w:line="360" w:lineRule="auto"/>
        <w:ind w:firstLine="645"/>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19</w:t>
      </w:r>
      <w:r>
        <w:rPr>
          <w:rFonts w:hint="eastAsia" w:ascii="仿宋_GB2312" w:hAnsi="宋体" w:eastAsia="仿宋_GB2312"/>
          <w:sz w:val="32"/>
          <w:szCs w:val="32"/>
          <w:highlight w:val="none"/>
        </w:rPr>
        <w:t>）审查施工承包人提交的竣工验收申请，编写工程质量评估报告；</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（20）参加工程竣工验收，签署竣工验收意见；</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21</w:t>
      </w:r>
      <w:r>
        <w:rPr>
          <w:rFonts w:hint="eastAsia" w:ascii="仿宋_GB2312" w:hAnsi="宋体" w:eastAsia="仿宋_GB2312"/>
          <w:sz w:val="32"/>
          <w:szCs w:val="32"/>
          <w:highlight w:val="none"/>
        </w:rPr>
        <w:t>）审查施工承包人提交的竣工结算申请并报委托人；</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22</w:t>
      </w:r>
      <w:r>
        <w:rPr>
          <w:rFonts w:hint="eastAsia" w:ascii="仿宋_GB2312" w:hAnsi="宋体" w:eastAsia="仿宋_GB2312"/>
          <w:sz w:val="32"/>
          <w:szCs w:val="32"/>
          <w:highlight w:val="none"/>
        </w:rPr>
        <w:t>）编制、整理工程监理归档文件并报委托人。</w:t>
      </w:r>
    </w:p>
    <w:p>
      <w:pPr>
        <w:spacing w:line="360" w:lineRule="auto"/>
        <w:ind w:left="420" w:leftChars="200" w:firstLine="160" w:firstLineChars="5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2.1.3 </w:t>
      </w:r>
      <w:r>
        <w:rPr>
          <w:rFonts w:hint="eastAsia" w:ascii="仿宋_GB2312" w:hAnsi="宋体" w:eastAsia="仿宋_GB2312"/>
          <w:sz w:val="32"/>
          <w:szCs w:val="32"/>
          <w:highlight w:val="none"/>
        </w:rPr>
        <w:t>相关服务的范围和内容在附录</w:t>
      </w:r>
      <w:r>
        <w:rPr>
          <w:rFonts w:hint="eastAsia" w:ascii="仿宋_GB2312" w:eastAsia="仿宋_GB2312"/>
          <w:sz w:val="32"/>
          <w:szCs w:val="32"/>
          <w:highlight w:val="none"/>
        </w:rPr>
        <w:t>A</w:t>
      </w:r>
      <w:r>
        <w:rPr>
          <w:rFonts w:hint="eastAsia" w:ascii="仿宋_GB2312" w:hAnsi="宋体" w:eastAsia="仿宋_GB2312"/>
          <w:sz w:val="32"/>
          <w:szCs w:val="32"/>
          <w:highlight w:val="none"/>
        </w:rPr>
        <w:t>中约定。</w:t>
      </w:r>
    </w:p>
    <w:p>
      <w:pPr>
        <w:spacing w:line="360" w:lineRule="auto"/>
        <w:ind w:firstLine="320" w:firstLine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2.2 </w:t>
      </w:r>
      <w:r>
        <w:rPr>
          <w:rFonts w:hint="eastAsia" w:ascii="仿宋_GB2312" w:hAnsi="宋体" w:eastAsia="仿宋_GB2312"/>
          <w:bCs/>
          <w:sz w:val="32"/>
          <w:szCs w:val="32"/>
          <w:highlight w:val="none"/>
        </w:rPr>
        <w:t>监理与相关服务依据</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2.2.1 监理依据包括：</w:t>
      </w:r>
    </w:p>
    <w:p>
      <w:pPr>
        <w:adjustRightInd w:val="0"/>
        <w:snapToGrid w:val="0"/>
        <w:spacing w:line="360" w:lineRule="auto"/>
        <w:ind w:firstLine="800" w:firstLineChars="250"/>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w:t>
      </w:r>
      <w:r>
        <w:rPr>
          <w:rFonts w:hint="eastAsia" w:ascii="仿宋_GB2312" w:hAnsi="宋体" w:eastAsia="仿宋_GB2312"/>
          <w:sz w:val="32"/>
          <w:szCs w:val="32"/>
          <w:highlight w:val="none"/>
        </w:rPr>
        <w:t>）适用的法律、行政法规及部门规章；</w:t>
      </w:r>
    </w:p>
    <w:p>
      <w:pPr>
        <w:adjustRightInd w:val="0"/>
        <w:snapToGrid w:val="0"/>
        <w:spacing w:line="360" w:lineRule="auto"/>
        <w:ind w:firstLine="800" w:firstLineChars="25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2</w:t>
      </w:r>
      <w:r>
        <w:rPr>
          <w:rFonts w:hint="eastAsia" w:ascii="仿宋_GB2312" w:hAnsi="宋体" w:eastAsia="仿宋_GB2312"/>
          <w:sz w:val="32"/>
          <w:szCs w:val="32"/>
          <w:highlight w:val="none"/>
        </w:rPr>
        <w:t>）与工程有关的标准；</w:t>
      </w:r>
    </w:p>
    <w:p>
      <w:pPr>
        <w:adjustRightInd w:val="0"/>
        <w:snapToGrid w:val="0"/>
        <w:spacing w:line="360" w:lineRule="auto"/>
        <w:ind w:firstLine="800" w:firstLineChars="250"/>
        <w:rPr>
          <w:rFonts w:hint="eastAsia" w:ascii="仿宋_GB2312" w:hAnsi="宋体" w:eastAsia="仿宋_GB2312"/>
          <w:sz w:val="32"/>
          <w:szCs w:val="32"/>
          <w:highlight w:val="none"/>
        </w:rPr>
      </w:pPr>
      <w:r>
        <w:rPr>
          <w:rFonts w:hint="eastAsia" w:ascii="仿宋_GB2312" w:hAnsi="宋体" w:eastAsia="仿宋_GB2312"/>
          <w:sz w:val="32"/>
          <w:szCs w:val="32"/>
          <w:highlight w:val="none"/>
        </w:rPr>
        <w:t>（3）工程设计及有关文件；</w:t>
      </w:r>
    </w:p>
    <w:p>
      <w:pPr>
        <w:adjustRightInd w:val="0"/>
        <w:snapToGrid w:val="0"/>
        <w:spacing w:line="360" w:lineRule="auto"/>
        <w:ind w:firstLine="800" w:firstLineChars="25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4</w:t>
      </w:r>
      <w:r>
        <w:rPr>
          <w:rFonts w:hint="eastAsia" w:ascii="仿宋_GB2312" w:hAnsi="宋体" w:eastAsia="仿宋_GB2312"/>
          <w:sz w:val="32"/>
          <w:szCs w:val="32"/>
          <w:highlight w:val="none"/>
        </w:rPr>
        <w:t>）本合同及委托人与第三方签订的与实施工程有关的其他合同。</w:t>
      </w:r>
    </w:p>
    <w:p>
      <w:pPr>
        <w:spacing w:line="360" w:lineRule="auto"/>
        <w:ind w:left="210" w:leftChars="100" w:firstLine="640" w:firstLineChars="200"/>
        <w:rPr>
          <w:rFonts w:hint="eastAsia" w:ascii="仿宋_GB2312" w:hAnsi="宋体" w:eastAsia="仿宋_GB2312"/>
          <w:bCs/>
          <w:sz w:val="32"/>
          <w:szCs w:val="32"/>
          <w:highlight w:val="none"/>
        </w:rPr>
      </w:pPr>
      <w:r>
        <w:rPr>
          <w:rFonts w:hint="eastAsia" w:ascii="仿宋_GB2312" w:hAnsi="宋体" w:eastAsia="仿宋_GB2312"/>
          <w:bCs/>
          <w:sz w:val="32"/>
          <w:szCs w:val="32"/>
          <w:highlight w:val="none"/>
        </w:rPr>
        <w:t>双方根据工程的行业和地域特点，在专用条件中具体约定监理依据。</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2.2.2 相关服务依据在专用条件中约定。</w:t>
      </w:r>
    </w:p>
    <w:p>
      <w:pPr>
        <w:spacing w:line="360" w:lineRule="auto"/>
        <w:ind w:firstLine="320" w:firstLine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2.3 </w:t>
      </w:r>
      <w:r>
        <w:rPr>
          <w:rFonts w:hint="eastAsia" w:ascii="仿宋_GB2312" w:hAnsi="宋体" w:eastAsia="仿宋_GB2312" w:cs="宋体"/>
          <w:kern w:val="0"/>
          <w:sz w:val="32"/>
          <w:szCs w:val="32"/>
          <w:highlight w:val="none"/>
        </w:rPr>
        <w:t>项目监理机构和人员</w:t>
      </w:r>
    </w:p>
    <w:p>
      <w:pPr>
        <w:adjustRightInd w:val="0"/>
        <w:snapToGrid w:val="0"/>
        <w:spacing w:line="360" w:lineRule="auto"/>
        <w:ind w:firstLine="645"/>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 xml:space="preserve">2.3.1 </w:t>
      </w:r>
      <w:r>
        <w:rPr>
          <w:rFonts w:hint="eastAsia" w:ascii="仿宋_GB2312" w:hAnsi="宋体" w:eastAsia="仿宋_GB2312"/>
          <w:kern w:val="0"/>
          <w:sz w:val="32"/>
          <w:szCs w:val="32"/>
          <w:highlight w:val="none"/>
        </w:rPr>
        <w:t>监理人应组建满足工作需要的项目监理机构，配备必要的检测设备。项目监理机构的主要人员应具有相应的资格条件。</w:t>
      </w:r>
    </w:p>
    <w:p>
      <w:pPr>
        <w:adjustRightInd w:val="0"/>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2.3.2</w:t>
      </w:r>
      <w:r>
        <w:rPr>
          <w:rFonts w:hint="eastAsia" w:ascii="仿宋_GB2312" w:hAnsi="宋体" w:eastAsia="仿宋_GB2312"/>
          <w:kern w:val="0"/>
          <w:sz w:val="32"/>
          <w:szCs w:val="32"/>
          <w:highlight w:val="none"/>
        </w:rPr>
        <w:t>本合同履行过程中，总监理工程师及重要岗位监理人员应保持相对稳定，以保证监理工作正常进行。</w:t>
      </w:r>
    </w:p>
    <w:p>
      <w:pPr>
        <w:adjustRightInd w:val="0"/>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2.3.3</w:t>
      </w:r>
      <w:r>
        <w:rPr>
          <w:rFonts w:hint="eastAsia" w:ascii="仿宋_GB2312" w:hAnsi="宋体" w:eastAsia="仿宋_GB2312"/>
          <w:kern w:val="0"/>
          <w:sz w:val="32"/>
          <w:szCs w:val="32"/>
          <w:highlight w:val="none"/>
        </w:rPr>
        <w:t>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eastAsia="仿宋_GB2312"/>
          <w:kern w:val="0"/>
          <w:sz w:val="32"/>
          <w:szCs w:val="32"/>
          <w:highlight w:val="none"/>
        </w:rPr>
        <w:t xml:space="preserve">2.3.4 </w:t>
      </w:r>
      <w:r>
        <w:rPr>
          <w:rFonts w:hint="eastAsia" w:ascii="仿宋_GB2312" w:hAnsi="宋体" w:eastAsia="仿宋_GB2312"/>
          <w:kern w:val="0"/>
          <w:sz w:val="32"/>
          <w:szCs w:val="32"/>
          <w:highlight w:val="none"/>
        </w:rPr>
        <w:t>监理人应及时更换有下列情形之一的监理人员：</w:t>
      </w:r>
    </w:p>
    <w:p>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hAnsi="宋体" w:eastAsia="仿宋_GB2312"/>
          <w:kern w:val="0"/>
          <w:sz w:val="32"/>
          <w:szCs w:val="32"/>
          <w:highlight w:val="none"/>
        </w:rPr>
        <w:t>（</w:t>
      </w:r>
      <w:r>
        <w:rPr>
          <w:rFonts w:hint="eastAsia" w:ascii="仿宋_GB2312" w:eastAsia="仿宋_GB2312"/>
          <w:kern w:val="0"/>
          <w:sz w:val="32"/>
          <w:szCs w:val="32"/>
          <w:highlight w:val="none"/>
        </w:rPr>
        <w:t>1</w:t>
      </w:r>
      <w:r>
        <w:rPr>
          <w:rFonts w:hint="eastAsia" w:ascii="仿宋_GB2312" w:hAnsi="宋体" w:eastAsia="仿宋_GB2312"/>
          <w:kern w:val="0"/>
          <w:sz w:val="32"/>
          <w:szCs w:val="32"/>
          <w:highlight w:val="none"/>
        </w:rPr>
        <w:t>）严重过失行为的；</w:t>
      </w:r>
    </w:p>
    <w:p>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hAnsi="宋体" w:eastAsia="仿宋_GB2312"/>
          <w:kern w:val="0"/>
          <w:sz w:val="32"/>
          <w:szCs w:val="32"/>
          <w:highlight w:val="none"/>
        </w:rPr>
        <w:t>（</w:t>
      </w:r>
      <w:r>
        <w:rPr>
          <w:rFonts w:hint="eastAsia" w:ascii="仿宋_GB2312" w:eastAsia="仿宋_GB2312"/>
          <w:kern w:val="0"/>
          <w:sz w:val="32"/>
          <w:szCs w:val="32"/>
          <w:highlight w:val="none"/>
        </w:rPr>
        <w:t>2</w:t>
      </w:r>
      <w:r>
        <w:rPr>
          <w:rFonts w:hint="eastAsia" w:ascii="仿宋_GB2312" w:hAnsi="宋体" w:eastAsia="仿宋_GB2312"/>
          <w:kern w:val="0"/>
          <w:sz w:val="32"/>
          <w:szCs w:val="32"/>
          <w:highlight w:val="none"/>
        </w:rPr>
        <w:t>）有违法行为不能履行职责的；</w:t>
      </w:r>
    </w:p>
    <w:p>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hAnsi="宋体" w:eastAsia="仿宋_GB2312"/>
          <w:kern w:val="0"/>
          <w:sz w:val="32"/>
          <w:szCs w:val="32"/>
          <w:highlight w:val="none"/>
        </w:rPr>
        <w:t>（</w:t>
      </w:r>
      <w:r>
        <w:rPr>
          <w:rFonts w:hint="eastAsia" w:ascii="仿宋_GB2312" w:eastAsia="仿宋_GB2312"/>
          <w:kern w:val="0"/>
          <w:sz w:val="32"/>
          <w:szCs w:val="32"/>
          <w:highlight w:val="none"/>
        </w:rPr>
        <w:t>3</w:t>
      </w:r>
      <w:r>
        <w:rPr>
          <w:rFonts w:hint="eastAsia" w:ascii="仿宋_GB2312" w:hAnsi="宋体" w:eastAsia="仿宋_GB2312"/>
          <w:kern w:val="0"/>
          <w:sz w:val="32"/>
          <w:szCs w:val="32"/>
          <w:highlight w:val="none"/>
        </w:rPr>
        <w:t>）涉嫌犯罪的；</w:t>
      </w:r>
    </w:p>
    <w:p>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hAnsi="宋体" w:eastAsia="仿宋_GB2312"/>
          <w:kern w:val="0"/>
          <w:sz w:val="32"/>
          <w:szCs w:val="32"/>
          <w:highlight w:val="none"/>
        </w:rPr>
        <w:t>（</w:t>
      </w:r>
      <w:r>
        <w:rPr>
          <w:rFonts w:hint="eastAsia" w:ascii="仿宋_GB2312" w:eastAsia="仿宋_GB2312"/>
          <w:kern w:val="0"/>
          <w:sz w:val="32"/>
          <w:szCs w:val="32"/>
          <w:highlight w:val="none"/>
        </w:rPr>
        <w:t>4</w:t>
      </w:r>
      <w:r>
        <w:rPr>
          <w:rFonts w:hint="eastAsia" w:ascii="仿宋_GB2312" w:hAnsi="宋体" w:eastAsia="仿宋_GB2312"/>
          <w:kern w:val="0"/>
          <w:sz w:val="32"/>
          <w:szCs w:val="32"/>
          <w:highlight w:val="none"/>
        </w:rPr>
        <w:t>）不能胜任岗位职责的；</w:t>
      </w:r>
    </w:p>
    <w:p>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hAnsi="宋体" w:eastAsia="仿宋_GB2312"/>
          <w:kern w:val="0"/>
          <w:sz w:val="32"/>
          <w:szCs w:val="32"/>
          <w:highlight w:val="none"/>
        </w:rPr>
        <w:t>（</w:t>
      </w:r>
      <w:r>
        <w:rPr>
          <w:rFonts w:hint="eastAsia" w:ascii="仿宋_GB2312" w:eastAsia="仿宋_GB2312"/>
          <w:kern w:val="0"/>
          <w:sz w:val="32"/>
          <w:szCs w:val="32"/>
          <w:highlight w:val="none"/>
        </w:rPr>
        <w:t>5</w:t>
      </w:r>
      <w:r>
        <w:rPr>
          <w:rFonts w:hint="eastAsia" w:ascii="仿宋_GB2312" w:hAnsi="宋体" w:eastAsia="仿宋_GB2312"/>
          <w:kern w:val="0"/>
          <w:sz w:val="32"/>
          <w:szCs w:val="32"/>
          <w:highlight w:val="none"/>
        </w:rPr>
        <w:t>）严重违反职业道德的；</w:t>
      </w:r>
    </w:p>
    <w:p>
      <w:pPr>
        <w:adjustRightInd w:val="0"/>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w:t>
      </w:r>
      <w:r>
        <w:rPr>
          <w:rFonts w:hint="eastAsia" w:ascii="仿宋_GB2312" w:eastAsia="仿宋_GB2312"/>
          <w:kern w:val="0"/>
          <w:sz w:val="32"/>
          <w:szCs w:val="32"/>
          <w:highlight w:val="none"/>
        </w:rPr>
        <w:t>6</w:t>
      </w:r>
      <w:r>
        <w:rPr>
          <w:rFonts w:hint="eastAsia" w:ascii="仿宋_GB2312" w:hAnsi="宋体" w:eastAsia="仿宋_GB2312"/>
          <w:kern w:val="0"/>
          <w:sz w:val="32"/>
          <w:szCs w:val="32"/>
          <w:highlight w:val="none"/>
        </w:rPr>
        <w:t>）专用条件约定的其他情形。</w:t>
      </w:r>
    </w:p>
    <w:p>
      <w:pPr>
        <w:spacing w:line="360" w:lineRule="auto"/>
        <w:ind w:firstLine="640" w:firstLineChars="200"/>
        <w:rPr>
          <w:rFonts w:hint="eastAsia" w:ascii="仿宋_GB2312" w:eastAsia="仿宋_GB2312"/>
          <w:kern w:val="0"/>
          <w:sz w:val="32"/>
          <w:szCs w:val="32"/>
          <w:highlight w:val="none"/>
        </w:rPr>
      </w:pPr>
      <w:r>
        <w:rPr>
          <w:rFonts w:hint="eastAsia" w:ascii="仿宋_GB2312" w:eastAsia="仿宋_GB2312"/>
          <w:kern w:val="0"/>
          <w:sz w:val="32"/>
          <w:szCs w:val="32"/>
          <w:highlight w:val="none"/>
        </w:rPr>
        <w:t>2.3.5 委托人可要求监理人更换不能</w:t>
      </w:r>
      <w:r>
        <w:rPr>
          <w:rFonts w:hint="eastAsia" w:ascii="仿宋_GB2312" w:hAnsi="宋体" w:eastAsia="仿宋_GB2312"/>
          <w:kern w:val="0"/>
          <w:sz w:val="32"/>
          <w:szCs w:val="32"/>
          <w:highlight w:val="none"/>
        </w:rPr>
        <w:t>胜任本职工作</w:t>
      </w:r>
      <w:r>
        <w:rPr>
          <w:rFonts w:hint="eastAsia" w:ascii="仿宋_GB2312" w:eastAsia="仿宋_GB2312"/>
          <w:kern w:val="0"/>
          <w:sz w:val="32"/>
          <w:szCs w:val="32"/>
          <w:highlight w:val="none"/>
        </w:rPr>
        <w:t>的</w:t>
      </w:r>
      <w:r>
        <w:rPr>
          <w:rFonts w:hint="eastAsia" w:ascii="仿宋_GB2312" w:hAnsi="宋体" w:eastAsia="仿宋_GB2312"/>
          <w:kern w:val="0"/>
          <w:sz w:val="32"/>
          <w:szCs w:val="32"/>
          <w:highlight w:val="none"/>
        </w:rPr>
        <w:t>项目监理机构</w:t>
      </w:r>
      <w:r>
        <w:rPr>
          <w:rFonts w:hint="eastAsia" w:ascii="仿宋_GB2312" w:eastAsia="仿宋_GB2312"/>
          <w:kern w:val="0"/>
          <w:sz w:val="32"/>
          <w:szCs w:val="32"/>
          <w:highlight w:val="none"/>
        </w:rPr>
        <w:t>人员。</w:t>
      </w:r>
    </w:p>
    <w:p>
      <w:pPr>
        <w:spacing w:line="360" w:lineRule="auto"/>
        <w:ind w:left="21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2.4 </w:t>
      </w:r>
      <w:r>
        <w:rPr>
          <w:rFonts w:hint="eastAsia" w:ascii="仿宋_GB2312" w:hAnsi="宋体" w:eastAsia="仿宋_GB2312" w:cs="宋体"/>
          <w:kern w:val="0"/>
          <w:sz w:val="32"/>
          <w:szCs w:val="32"/>
          <w:highlight w:val="none"/>
        </w:rPr>
        <w:t>履行职责</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kern w:val="0"/>
          <w:sz w:val="32"/>
          <w:szCs w:val="32"/>
          <w:highlight w:val="none"/>
        </w:rPr>
        <w:t>监理人应遵循职业道德准则和行为规范，严格按照法律法规、工程建设有关标准及本合同履行职责。</w:t>
      </w:r>
    </w:p>
    <w:p>
      <w:pPr>
        <w:adjustRightInd w:val="0"/>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 xml:space="preserve">2.4.1 </w:t>
      </w:r>
      <w:r>
        <w:rPr>
          <w:rFonts w:hint="eastAsia" w:ascii="仿宋_GB2312" w:hAnsi="宋体" w:eastAsia="仿宋_GB2312"/>
          <w:kern w:val="0"/>
          <w:sz w:val="32"/>
          <w:szCs w:val="32"/>
          <w:highlight w:val="none"/>
        </w:rPr>
        <w:t>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eastAsia="仿宋_GB2312"/>
          <w:kern w:val="0"/>
          <w:sz w:val="32"/>
          <w:szCs w:val="32"/>
          <w:highlight w:val="none"/>
        </w:rPr>
        <w:t xml:space="preserve">2.4.2 </w:t>
      </w:r>
      <w:r>
        <w:rPr>
          <w:rFonts w:hint="eastAsia" w:ascii="仿宋_GB2312" w:hAnsi="宋体" w:eastAsia="仿宋_GB2312"/>
          <w:kern w:val="0"/>
          <w:sz w:val="32"/>
          <w:szCs w:val="32"/>
          <w:highlight w:val="none"/>
        </w:rPr>
        <w:t>当委托人与承包人之间的合同争议提交仲裁机构仲裁或人民法院审理时，监理人应提供必要的证明资料。</w:t>
      </w:r>
    </w:p>
    <w:p>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eastAsia="仿宋_GB2312"/>
          <w:kern w:val="0"/>
          <w:sz w:val="32"/>
          <w:szCs w:val="32"/>
          <w:highlight w:val="none"/>
        </w:rPr>
        <w:t xml:space="preserve">2.4.3 </w:t>
      </w:r>
      <w:r>
        <w:rPr>
          <w:rFonts w:hint="eastAsia" w:ascii="仿宋_GB2312" w:hAnsi="宋体" w:eastAsia="仿宋_GB2312"/>
          <w:kern w:val="0"/>
          <w:sz w:val="32"/>
          <w:szCs w:val="32"/>
          <w:highlight w:val="none"/>
        </w:rPr>
        <w:t>监理人应在专用条件约定的授权范围内，处理委托人与承包人所签订合同的变更事宜。如果变更超过授权范围，应以书面形式报委托人批准。</w:t>
      </w:r>
    </w:p>
    <w:p>
      <w:pPr>
        <w:adjustRightInd w:val="0"/>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在紧急情况下，为了保护财产和人身安全，监理人所发出的指令未能事先报委托人批准时，应在发出指令后的</w:t>
      </w:r>
      <w:r>
        <w:rPr>
          <w:rFonts w:hint="eastAsia" w:ascii="仿宋_GB2312" w:eastAsia="仿宋_GB2312"/>
          <w:kern w:val="0"/>
          <w:sz w:val="32"/>
          <w:szCs w:val="32"/>
          <w:highlight w:val="none"/>
        </w:rPr>
        <w:t>24</w:t>
      </w:r>
      <w:r>
        <w:rPr>
          <w:rFonts w:hint="eastAsia" w:ascii="仿宋_GB2312" w:hAnsi="宋体" w:eastAsia="仿宋_GB2312"/>
          <w:kern w:val="0"/>
          <w:sz w:val="32"/>
          <w:szCs w:val="32"/>
          <w:highlight w:val="none"/>
        </w:rPr>
        <w:t>小时内以书面形式报委托人。</w:t>
      </w:r>
    </w:p>
    <w:p>
      <w:pPr>
        <w:spacing w:line="360" w:lineRule="auto"/>
        <w:ind w:firstLine="640" w:firstLineChars="200"/>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2.4.4 除专用条件另有约定外，监理人发现承包人的人员不能胜任本职工作的，有权要求承包人予以调换。</w:t>
      </w:r>
    </w:p>
    <w:p>
      <w:pPr>
        <w:spacing w:line="360" w:lineRule="auto"/>
        <w:ind w:left="21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2.5 提交</w:t>
      </w:r>
      <w:r>
        <w:rPr>
          <w:rFonts w:hint="eastAsia" w:ascii="仿宋_GB2312" w:hAnsi="宋体" w:eastAsia="仿宋_GB2312" w:cs="宋体"/>
          <w:kern w:val="0"/>
          <w:sz w:val="32"/>
          <w:szCs w:val="32"/>
          <w:highlight w:val="none"/>
        </w:rPr>
        <w:t>报告</w:t>
      </w:r>
    </w:p>
    <w:p>
      <w:pPr>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监理人应按专用条件约定的种类、时间和份数向委托人提交监理与相关服务的报告。</w:t>
      </w:r>
    </w:p>
    <w:p>
      <w:pPr>
        <w:spacing w:line="360" w:lineRule="auto"/>
        <w:ind w:left="210" w:leftChars="100"/>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 xml:space="preserve">2.6 </w:t>
      </w:r>
      <w:r>
        <w:rPr>
          <w:rFonts w:hint="eastAsia" w:ascii="仿宋_GB2312" w:hAnsi="宋体" w:eastAsia="仿宋_GB2312"/>
          <w:kern w:val="0"/>
          <w:sz w:val="32"/>
          <w:szCs w:val="32"/>
          <w:highlight w:val="none"/>
        </w:rPr>
        <w:t>文件资料</w:t>
      </w:r>
    </w:p>
    <w:p>
      <w:pPr>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kern w:val="0"/>
          <w:sz w:val="32"/>
          <w:szCs w:val="32"/>
          <w:highlight w:val="none"/>
        </w:rPr>
        <w:t>在本合同履行期内，监理人应在现场保留工作所用的图纸、报告及记录监理工</w:t>
      </w:r>
      <w:r>
        <w:rPr>
          <w:rFonts w:hint="eastAsia" w:ascii="仿宋_GB2312" w:hAnsi="宋体" w:eastAsia="仿宋_GB2312"/>
          <w:sz w:val="32"/>
          <w:szCs w:val="32"/>
          <w:highlight w:val="none"/>
        </w:rPr>
        <w:t>作的相关文件。工程竣工后，应当按照档案管理规定将监理有关文件归档。</w:t>
      </w:r>
    </w:p>
    <w:p>
      <w:pPr>
        <w:spacing w:line="360" w:lineRule="auto"/>
        <w:ind w:left="21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2.7 </w:t>
      </w:r>
      <w:r>
        <w:rPr>
          <w:rFonts w:hint="eastAsia" w:ascii="仿宋_GB2312" w:hAnsi="宋体" w:eastAsia="仿宋_GB2312" w:cs="宋体"/>
          <w:kern w:val="0"/>
          <w:sz w:val="32"/>
          <w:szCs w:val="32"/>
          <w:highlight w:val="none"/>
        </w:rPr>
        <w:t>使用委托人的财产</w:t>
      </w:r>
    </w:p>
    <w:p>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监理人无偿使用附录</w:t>
      </w:r>
      <w:r>
        <w:rPr>
          <w:rFonts w:hint="eastAsia" w:ascii="仿宋_GB2312" w:eastAsia="仿宋_GB2312"/>
          <w:sz w:val="32"/>
          <w:szCs w:val="32"/>
          <w:highlight w:val="none"/>
        </w:rPr>
        <w:t>B</w:t>
      </w:r>
      <w:r>
        <w:rPr>
          <w:rFonts w:hint="eastAsia" w:ascii="仿宋_GB2312" w:hAnsi="宋体" w:eastAsia="仿宋_GB2312"/>
          <w:sz w:val="32"/>
          <w:szCs w:val="32"/>
          <w:highlight w:val="none"/>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rPr>
          <w:rFonts w:hint="eastAsia" w:ascii="仿宋_GB2312" w:hAnsi="黑体" w:eastAsia="仿宋_GB2312"/>
          <w:b/>
          <w:kern w:val="0"/>
          <w:sz w:val="32"/>
          <w:szCs w:val="32"/>
          <w:highlight w:val="none"/>
        </w:rPr>
      </w:pPr>
      <w:r>
        <w:rPr>
          <w:rFonts w:hint="eastAsia" w:ascii="仿宋_GB2312" w:hAnsi="黑体" w:eastAsia="仿宋_GB2312"/>
          <w:b/>
          <w:kern w:val="0"/>
          <w:sz w:val="32"/>
          <w:szCs w:val="32"/>
          <w:highlight w:val="none"/>
        </w:rPr>
        <w:t>3．委托人的义务</w:t>
      </w:r>
    </w:p>
    <w:p>
      <w:pPr>
        <w:spacing w:line="360" w:lineRule="auto"/>
        <w:ind w:left="21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3.1 </w:t>
      </w:r>
      <w:r>
        <w:rPr>
          <w:rFonts w:hint="eastAsia" w:ascii="仿宋_GB2312" w:hAnsi="宋体" w:eastAsia="仿宋_GB2312" w:cs="宋体"/>
          <w:kern w:val="0"/>
          <w:sz w:val="32"/>
          <w:szCs w:val="32"/>
          <w:highlight w:val="none"/>
        </w:rPr>
        <w:t>告知</w:t>
      </w:r>
    </w:p>
    <w:p>
      <w:pPr>
        <w:spacing w:line="360" w:lineRule="auto"/>
        <w:ind w:firstLine="640" w:firstLineChars="200"/>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委托人应在委托人与承包人签订的合同中明确监理人、总监理工程师和授予项目监理机构的权限。如有变更，应及时通知承包人。</w:t>
      </w:r>
    </w:p>
    <w:p>
      <w:pPr>
        <w:spacing w:line="360" w:lineRule="auto"/>
        <w:ind w:left="21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3.2 </w:t>
      </w:r>
      <w:r>
        <w:rPr>
          <w:rFonts w:hint="eastAsia" w:ascii="仿宋_GB2312" w:hAnsi="宋体" w:eastAsia="仿宋_GB2312" w:cs="宋体"/>
          <w:kern w:val="0"/>
          <w:sz w:val="32"/>
          <w:szCs w:val="32"/>
          <w:highlight w:val="none"/>
        </w:rPr>
        <w:t>提供资料</w:t>
      </w:r>
    </w:p>
    <w:p>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kern w:val="0"/>
          <w:sz w:val="32"/>
          <w:szCs w:val="32"/>
          <w:highlight w:val="none"/>
        </w:rPr>
        <w:t>委托人应按照附录B约定，</w:t>
      </w:r>
      <w:r>
        <w:rPr>
          <w:rFonts w:hint="eastAsia" w:ascii="仿宋_GB2312" w:hAnsi="宋体" w:eastAsia="仿宋_GB2312"/>
          <w:color w:val="000000"/>
          <w:kern w:val="0"/>
          <w:sz w:val="32"/>
          <w:szCs w:val="32"/>
          <w:highlight w:val="none"/>
        </w:rPr>
        <w:t>无偿</w:t>
      </w:r>
      <w:r>
        <w:rPr>
          <w:rFonts w:hint="eastAsia" w:ascii="仿宋_GB2312" w:hAnsi="宋体" w:eastAsia="仿宋_GB2312"/>
          <w:kern w:val="0"/>
          <w:sz w:val="32"/>
          <w:szCs w:val="32"/>
          <w:highlight w:val="none"/>
        </w:rPr>
        <w:t>向监理人提供工程有关的资料。</w:t>
      </w:r>
      <w:r>
        <w:rPr>
          <w:rFonts w:hint="eastAsia" w:ascii="仿宋_GB2312" w:hAnsi="宋体" w:eastAsia="仿宋_GB2312"/>
          <w:sz w:val="32"/>
          <w:szCs w:val="32"/>
          <w:highlight w:val="none"/>
        </w:rPr>
        <w:t>在本合同履行过程中，委托人应及时向监理人提供最新的与工程有关的资料。</w:t>
      </w:r>
    </w:p>
    <w:p>
      <w:pPr>
        <w:spacing w:line="360" w:lineRule="auto"/>
        <w:ind w:left="21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3.3 </w:t>
      </w:r>
      <w:r>
        <w:rPr>
          <w:rFonts w:hint="eastAsia" w:ascii="仿宋_GB2312" w:hAnsi="宋体" w:eastAsia="仿宋_GB2312" w:cs="宋体"/>
          <w:kern w:val="0"/>
          <w:sz w:val="32"/>
          <w:szCs w:val="32"/>
          <w:highlight w:val="none"/>
        </w:rPr>
        <w:t>提供工作条件</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委托人应为监理人完成监理与相关服务提供必要的条件。</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kern w:val="0"/>
          <w:sz w:val="32"/>
          <w:szCs w:val="32"/>
          <w:highlight w:val="none"/>
        </w:rPr>
        <w:t xml:space="preserve">3.3.1 </w:t>
      </w:r>
      <w:r>
        <w:rPr>
          <w:rFonts w:hint="eastAsia" w:ascii="仿宋_GB2312" w:hAnsi="宋体" w:eastAsia="仿宋_GB2312"/>
          <w:sz w:val="32"/>
          <w:szCs w:val="32"/>
          <w:highlight w:val="none"/>
        </w:rPr>
        <w:t>委托人应按照附录</w:t>
      </w:r>
      <w:r>
        <w:rPr>
          <w:rFonts w:hint="eastAsia" w:ascii="仿宋_GB2312" w:eastAsia="仿宋_GB2312"/>
          <w:sz w:val="32"/>
          <w:szCs w:val="32"/>
          <w:highlight w:val="none"/>
        </w:rPr>
        <w:t>B</w:t>
      </w:r>
      <w:r>
        <w:rPr>
          <w:rFonts w:hint="eastAsia" w:ascii="仿宋_GB2312" w:hAnsi="宋体" w:eastAsia="仿宋_GB2312"/>
          <w:sz w:val="32"/>
          <w:szCs w:val="32"/>
          <w:highlight w:val="none"/>
        </w:rPr>
        <w:t>约定，派遣相应的人员，提供房屋、设备，供监理人</w:t>
      </w:r>
      <w:r>
        <w:rPr>
          <w:rFonts w:hint="eastAsia" w:ascii="仿宋_GB2312" w:hAnsi="宋体" w:eastAsia="仿宋_GB2312"/>
          <w:kern w:val="0"/>
          <w:sz w:val="32"/>
          <w:szCs w:val="32"/>
          <w:highlight w:val="none"/>
        </w:rPr>
        <w:t>无偿</w:t>
      </w:r>
      <w:r>
        <w:rPr>
          <w:rFonts w:hint="eastAsia" w:ascii="仿宋_GB2312" w:hAnsi="宋体" w:eastAsia="仿宋_GB2312"/>
          <w:sz w:val="32"/>
          <w:szCs w:val="32"/>
          <w:highlight w:val="none"/>
        </w:rPr>
        <w:t>使用。</w:t>
      </w:r>
    </w:p>
    <w:p>
      <w:pPr>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kern w:val="0"/>
          <w:sz w:val="32"/>
          <w:szCs w:val="32"/>
          <w:highlight w:val="none"/>
        </w:rPr>
        <w:t xml:space="preserve">3.3.2 </w:t>
      </w:r>
      <w:r>
        <w:rPr>
          <w:rFonts w:hint="eastAsia" w:ascii="仿宋_GB2312" w:hAnsi="宋体" w:eastAsia="仿宋_GB2312"/>
          <w:sz w:val="32"/>
          <w:szCs w:val="32"/>
          <w:highlight w:val="none"/>
        </w:rPr>
        <w:t>委托人应负责协调工程建设中所有外部关系，为监理人履行本合同提供必要的外部条件。</w:t>
      </w:r>
    </w:p>
    <w:p>
      <w:pPr>
        <w:snapToGrid w:val="0"/>
        <w:spacing w:line="360" w:lineRule="auto"/>
        <w:ind w:left="21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3.4 </w:t>
      </w:r>
      <w:r>
        <w:rPr>
          <w:rFonts w:hint="eastAsia" w:ascii="仿宋_GB2312" w:hAnsi="宋体" w:eastAsia="仿宋_GB2312" w:cs="宋体"/>
          <w:kern w:val="0"/>
          <w:sz w:val="32"/>
          <w:szCs w:val="32"/>
          <w:highlight w:val="none"/>
        </w:rPr>
        <w:t>委托人代表</w:t>
      </w:r>
    </w:p>
    <w:p>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委托人应授权一名熟悉工程情况的代表，负责与监理人联系。委托人应在双方签订本合同后7天内，将委托人代表的姓名和职责书面告知监理人。当委托人更换委托人代表时，应提前</w:t>
      </w:r>
      <w:r>
        <w:rPr>
          <w:rFonts w:hint="eastAsia" w:ascii="仿宋_GB2312" w:eastAsia="仿宋_GB2312"/>
          <w:sz w:val="32"/>
          <w:szCs w:val="32"/>
          <w:highlight w:val="none"/>
        </w:rPr>
        <w:t>7天</w:t>
      </w:r>
      <w:r>
        <w:rPr>
          <w:rFonts w:hint="eastAsia" w:ascii="仿宋_GB2312" w:hAnsi="宋体" w:eastAsia="仿宋_GB2312"/>
          <w:sz w:val="32"/>
          <w:szCs w:val="32"/>
          <w:highlight w:val="none"/>
        </w:rPr>
        <w:t>通知监理人。</w:t>
      </w:r>
    </w:p>
    <w:p>
      <w:pPr>
        <w:snapToGrid w:val="0"/>
        <w:spacing w:line="360" w:lineRule="auto"/>
        <w:ind w:left="21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3.5 </w:t>
      </w:r>
      <w:r>
        <w:rPr>
          <w:rFonts w:hint="eastAsia" w:ascii="仿宋_GB2312" w:hAnsi="宋体" w:eastAsia="仿宋_GB2312" w:cs="宋体"/>
          <w:kern w:val="0"/>
          <w:sz w:val="32"/>
          <w:szCs w:val="32"/>
          <w:highlight w:val="none"/>
        </w:rPr>
        <w:t>委托人意见或要求</w:t>
      </w:r>
    </w:p>
    <w:p>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在本合同约定的监理与相关服务工作范围内，委托人对承包人的任何意见或要求应通知监理人，由监理人向承包人发出相应指令。</w:t>
      </w:r>
    </w:p>
    <w:p>
      <w:pPr>
        <w:snapToGrid w:val="0"/>
        <w:spacing w:line="360" w:lineRule="auto"/>
        <w:ind w:left="21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3.6 </w:t>
      </w:r>
      <w:r>
        <w:rPr>
          <w:rFonts w:hint="eastAsia" w:ascii="仿宋_GB2312" w:hAnsi="宋体" w:eastAsia="仿宋_GB2312" w:cs="宋体"/>
          <w:kern w:val="0"/>
          <w:sz w:val="32"/>
          <w:szCs w:val="32"/>
          <w:highlight w:val="none"/>
        </w:rPr>
        <w:t>答复</w:t>
      </w:r>
    </w:p>
    <w:p>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委托人应在专用条件约定的时间内，对监理人以书面形式提交并要求作出决定的事宜，给予书面答复。逾期未答复的，视为委托人认可。</w:t>
      </w:r>
    </w:p>
    <w:p>
      <w:pPr>
        <w:snapToGrid w:val="0"/>
        <w:spacing w:line="360" w:lineRule="auto"/>
        <w:ind w:left="21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3.7 </w:t>
      </w:r>
      <w:r>
        <w:rPr>
          <w:rFonts w:hint="eastAsia" w:ascii="仿宋_GB2312" w:hAnsi="宋体" w:eastAsia="仿宋_GB2312" w:cs="宋体"/>
          <w:kern w:val="0"/>
          <w:sz w:val="32"/>
          <w:szCs w:val="32"/>
          <w:highlight w:val="none"/>
        </w:rPr>
        <w:t>支付</w:t>
      </w:r>
    </w:p>
    <w:p>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委托人应按本合同约定，向监理人支付酬金。</w:t>
      </w:r>
    </w:p>
    <w:p>
      <w:pPr>
        <w:snapToGrid w:val="0"/>
        <w:spacing w:line="360" w:lineRule="auto"/>
        <w:rPr>
          <w:rFonts w:hint="eastAsia" w:ascii="仿宋_GB2312" w:hAnsi="黑体" w:eastAsia="仿宋_GB2312"/>
          <w:b/>
          <w:bCs/>
          <w:sz w:val="32"/>
          <w:szCs w:val="32"/>
          <w:highlight w:val="none"/>
        </w:rPr>
      </w:pPr>
      <w:r>
        <w:rPr>
          <w:rFonts w:hint="eastAsia" w:ascii="仿宋_GB2312" w:hAnsi="黑体" w:eastAsia="仿宋_GB2312"/>
          <w:b/>
          <w:bCs/>
          <w:sz w:val="32"/>
          <w:szCs w:val="32"/>
          <w:highlight w:val="none"/>
        </w:rPr>
        <w:t>4. 违约责任</w:t>
      </w:r>
    </w:p>
    <w:p>
      <w:pPr>
        <w:spacing w:line="360" w:lineRule="auto"/>
        <w:ind w:left="21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4.1 </w:t>
      </w:r>
      <w:r>
        <w:rPr>
          <w:rFonts w:hint="eastAsia" w:ascii="仿宋_GB2312" w:hAnsi="宋体" w:eastAsia="仿宋_GB2312" w:cs="宋体"/>
          <w:kern w:val="0"/>
          <w:sz w:val="32"/>
          <w:szCs w:val="32"/>
          <w:highlight w:val="none"/>
        </w:rPr>
        <w:t>监理人的违约责任</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kern w:val="0"/>
          <w:sz w:val="32"/>
          <w:szCs w:val="32"/>
          <w:highlight w:val="none"/>
        </w:rPr>
        <w:t>监理人未履行本合同义务的，应承担相应的责任。</w:t>
      </w:r>
    </w:p>
    <w:p>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eastAsia="仿宋_GB2312"/>
          <w:kern w:val="0"/>
          <w:sz w:val="32"/>
          <w:szCs w:val="32"/>
          <w:highlight w:val="none"/>
        </w:rPr>
        <w:t xml:space="preserve">4.1.1 </w:t>
      </w:r>
      <w:r>
        <w:rPr>
          <w:rFonts w:hint="eastAsia" w:ascii="仿宋_GB2312" w:hAnsi="宋体" w:eastAsia="仿宋_GB2312"/>
          <w:kern w:val="0"/>
          <w:sz w:val="32"/>
          <w:szCs w:val="32"/>
          <w:highlight w:val="none"/>
        </w:rPr>
        <w:t>因监理人</w:t>
      </w:r>
      <w:r>
        <w:rPr>
          <w:rFonts w:hint="eastAsia" w:ascii="仿宋_GB2312" w:hAnsi="宋体" w:eastAsia="仿宋_GB2312" w:cs="宋体"/>
          <w:kern w:val="0"/>
          <w:sz w:val="32"/>
          <w:szCs w:val="32"/>
          <w:highlight w:val="none"/>
        </w:rPr>
        <w:t>违反本合同约定</w:t>
      </w:r>
      <w:r>
        <w:rPr>
          <w:rFonts w:hint="eastAsia" w:ascii="仿宋_GB2312" w:hAnsi="宋体" w:eastAsia="仿宋_GB2312"/>
          <w:sz w:val="32"/>
          <w:szCs w:val="32"/>
          <w:highlight w:val="none"/>
        </w:rPr>
        <w:t>给委托人造成损失的，监理人应当赔偿委托人损失</w:t>
      </w:r>
      <w:r>
        <w:rPr>
          <w:rFonts w:hint="eastAsia" w:ascii="仿宋_GB2312" w:hAnsi="宋体" w:eastAsia="仿宋_GB2312"/>
          <w:kern w:val="0"/>
          <w:sz w:val="32"/>
          <w:szCs w:val="32"/>
          <w:highlight w:val="none"/>
        </w:rPr>
        <w:t>。赔偿金额的确定方法在专用条件中约定。</w:t>
      </w:r>
      <w:r>
        <w:rPr>
          <w:rFonts w:hint="eastAsia" w:ascii="仿宋_GB2312" w:eastAsia="仿宋_GB2312"/>
          <w:kern w:val="0"/>
          <w:sz w:val="32"/>
          <w:szCs w:val="32"/>
          <w:highlight w:val="none"/>
        </w:rPr>
        <w:t>监理人承担部分赔偿责任的，其承担赔偿金额由双方协商确定。</w:t>
      </w:r>
    </w:p>
    <w:p>
      <w:pPr>
        <w:spacing w:line="360" w:lineRule="auto"/>
        <w:ind w:firstLine="640" w:firstLineChars="200"/>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 xml:space="preserve">4.1.2 </w:t>
      </w:r>
      <w:r>
        <w:rPr>
          <w:rFonts w:hint="eastAsia" w:ascii="仿宋_GB2312" w:hAnsi="宋体" w:eastAsia="仿宋_GB2312"/>
          <w:kern w:val="0"/>
          <w:sz w:val="32"/>
          <w:szCs w:val="32"/>
          <w:highlight w:val="none"/>
        </w:rPr>
        <w:t>监理人向委托人的索赔不成立时，监理人应赔偿委托人由此发生的费用。</w:t>
      </w:r>
    </w:p>
    <w:p>
      <w:pPr>
        <w:snapToGrid w:val="0"/>
        <w:spacing w:line="360" w:lineRule="auto"/>
        <w:ind w:firstLine="320" w:firstLine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4.2 委</w:t>
      </w:r>
      <w:r>
        <w:rPr>
          <w:rFonts w:hint="eastAsia" w:ascii="仿宋_GB2312" w:hAnsi="宋体" w:eastAsia="仿宋_GB2312" w:cs="宋体"/>
          <w:kern w:val="0"/>
          <w:sz w:val="32"/>
          <w:szCs w:val="32"/>
          <w:highlight w:val="none"/>
        </w:rPr>
        <w:t>托人的违约责任</w:t>
      </w:r>
    </w:p>
    <w:p>
      <w:pPr>
        <w:adjustRightInd w:val="0"/>
        <w:snapToGrid w:val="0"/>
        <w:spacing w:line="360" w:lineRule="auto"/>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kern w:val="0"/>
          <w:sz w:val="32"/>
          <w:szCs w:val="32"/>
          <w:highlight w:val="none"/>
        </w:rPr>
        <w:t>委托人未履行本合同义务的，应承担相应的责任。</w:t>
      </w:r>
    </w:p>
    <w:p>
      <w:pPr>
        <w:adjustRightInd w:val="0"/>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 xml:space="preserve">4.2.1 </w:t>
      </w:r>
      <w:r>
        <w:rPr>
          <w:rFonts w:hint="eastAsia" w:ascii="仿宋_GB2312" w:hAnsi="宋体" w:eastAsia="仿宋_GB2312"/>
          <w:kern w:val="0"/>
          <w:sz w:val="32"/>
          <w:szCs w:val="32"/>
          <w:highlight w:val="none"/>
        </w:rPr>
        <w:t>委托人违反本合同约定造成监理人损失的，委托人应予以赔偿。</w:t>
      </w:r>
    </w:p>
    <w:p>
      <w:pPr>
        <w:adjustRightInd w:val="0"/>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 xml:space="preserve">4.2.2 </w:t>
      </w:r>
      <w:r>
        <w:rPr>
          <w:rFonts w:hint="eastAsia" w:ascii="仿宋_GB2312" w:hAnsi="宋体" w:eastAsia="仿宋_GB2312"/>
          <w:kern w:val="0"/>
          <w:sz w:val="32"/>
          <w:szCs w:val="32"/>
          <w:highlight w:val="none"/>
        </w:rPr>
        <w:t>委托人向监理人的索赔不成立时，应赔偿监理人由此引起的费用。</w:t>
      </w:r>
    </w:p>
    <w:p>
      <w:pPr>
        <w:spacing w:line="360" w:lineRule="auto"/>
        <w:ind w:firstLine="640" w:firstLineChars="200"/>
        <w:rPr>
          <w:rFonts w:hint="eastAsia" w:ascii="仿宋_GB2312" w:hAnsi="宋体" w:eastAsia="仿宋_GB2312"/>
          <w:kern w:val="0"/>
          <w:sz w:val="32"/>
          <w:szCs w:val="32"/>
          <w:highlight w:val="none"/>
        </w:rPr>
      </w:pPr>
      <w:r>
        <w:rPr>
          <w:rFonts w:hint="eastAsia" w:ascii="仿宋_GB2312" w:eastAsia="仿宋_GB2312"/>
          <w:sz w:val="32"/>
          <w:szCs w:val="32"/>
          <w:highlight w:val="none"/>
        </w:rPr>
        <w:t xml:space="preserve">4.2.3 </w:t>
      </w:r>
      <w:r>
        <w:rPr>
          <w:rFonts w:hint="eastAsia" w:ascii="仿宋_GB2312" w:hAnsi="宋体" w:eastAsia="仿宋_GB2312"/>
          <w:kern w:val="0"/>
          <w:sz w:val="32"/>
          <w:szCs w:val="32"/>
          <w:highlight w:val="none"/>
        </w:rPr>
        <w:t>委托人未能按期支付</w:t>
      </w:r>
      <w:r>
        <w:rPr>
          <w:rFonts w:hint="eastAsia" w:ascii="仿宋_GB2312" w:hAnsi="宋体" w:eastAsia="仿宋_GB2312"/>
          <w:sz w:val="32"/>
          <w:szCs w:val="32"/>
          <w:highlight w:val="none"/>
        </w:rPr>
        <w:t>酬金</w:t>
      </w:r>
      <w:r>
        <w:rPr>
          <w:rFonts w:hint="eastAsia" w:ascii="仿宋_GB2312" w:hAnsi="宋体" w:eastAsia="仿宋_GB2312"/>
          <w:kern w:val="0"/>
          <w:sz w:val="32"/>
          <w:szCs w:val="32"/>
          <w:highlight w:val="none"/>
        </w:rPr>
        <w:t>超过</w:t>
      </w:r>
      <w:r>
        <w:rPr>
          <w:rFonts w:hint="eastAsia" w:ascii="仿宋_GB2312" w:eastAsia="仿宋_GB2312"/>
          <w:kern w:val="0"/>
          <w:sz w:val="32"/>
          <w:szCs w:val="32"/>
          <w:highlight w:val="none"/>
        </w:rPr>
        <w:t>28</w:t>
      </w:r>
      <w:r>
        <w:rPr>
          <w:rFonts w:hint="eastAsia" w:ascii="仿宋_GB2312" w:hAnsi="宋体" w:eastAsia="仿宋_GB2312"/>
          <w:kern w:val="0"/>
          <w:sz w:val="32"/>
          <w:szCs w:val="32"/>
          <w:highlight w:val="none"/>
        </w:rPr>
        <w:t>天，</w:t>
      </w:r>
      <w:r>
        <w:rPr>
          <w:rFonts w:hint="eastAsia" w:ascii="仿宋_GB2312" w:hAnsi="宋体" w:eastAsia="仿宋_GB2312" w:cs="宋体"/>
          <w:kern w:val="0"/>
          <w:sz w:val="32"/>
          <w:szCs w:val="32"/>
          <w:highlight w:val="none"/>
        </w:rPr>
        <w:t>应按专用条件约定支付逾期付款利息</w:t>
      </w:r>
      <w:r>
        <w:rPr>
          <w:rFonts w:hint="eastAsia" w:ascii="仿宋_GB2312" w:hAnsi="宋体" w:eastAsia="仿宋_GB2312"/>
          <w:kern w:val="0"/>
          <w:sz w:val="32"/>
          <w:szCs w:val="32"/>
          <w:highlight w:val="none"/>
        </w:rPr>
        <w:t>。</w:t>
      </w:r>
    </w:p>
    <w:p>
      <w:pPr>
        <w:spacing w:line="360" w:lineRule="auto"/>
        <w:ind w:firstLine="320" w:firstLineChars="100"/>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 xml:space="preserve">4.3 </w:t>
      </w:r>
      <w:r>
        <w:rPr>
          <w:rFonts w:hint="eastAsia" w:ascii="仿宋_GB2312" w:hAnsi="宋体" w:eastAsia="仿宋_GB2312"/>
          <w:kern w:val="0"/>
          <w:sz w:val="32"/>
          <w:szCs w:val="32"/>
          <w:highlight w:val="none"/>
        </w:rPr>
        <w:t>除外责任</w:t>
      </w:r>
    </w:p>
    <w:p>
      <w:pPr>
        <w:adjustRightInd w:val="0"/>
        <w:snapToGrid w:val="0"/>
        <w:spacing w:line="360" w:lineRule="auto"/>
        <w:ind w:firstLine="640" w:firstLineChars="200"/>
        <w:rPr>
          <w:rFonts w:hint="eastAsia" w:ascii="仿宋_GB2312" w:eastAsia="仿宋_GB2312"/>
          <w:kern w:val="0"/>
          <w:sz w:val="32"/>
          <w:szCs w:val="32"/>
          <w:highlight w:val="none"/>
        </w:rPr>
      </w:pPr>
      <w:r>
        <w:rPr>
          <w:rFonts w:hint="eastAsia" w:ascii="仿宋_GB2312" w:hAnsi="宋体" w:eastAsia="仿宋_GB2312"/>
          <w:kern w:val="0"/>
          <w:sz w:val="32"/>
          <w:szCs w:val="32"/>
          <w:highlight w:val="none"/>
        </w:rPr>
        <w:t>因非监理人的原因，且监理人无过错，发生工程质量事故、安全事故、工期延误等造成的损失，监理人不承担赔偿责任。</w:t>
      </w:r>
    </w:p>
    <w:p>
      <w:pPr>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因不可抗力导致本合同全部或部分不能履行时，双方各自承担其因此而造成的损失、损害。</w:t>
      </w:r>
    </w:p>
    <w:p>
      <w:pPr>
        <w:snapToGrid w:val="0"/>
        <w:spacing w:line="360" w:lineRule="auto"/>
        <w:rPr>
          <w:rFonts w:hint="eastAsia" w:ascii="仿宋_GB2312" w:hAnsi="宋体" w:eastAsia="仿宋_GB2312"/>
          <w:b/>
          <w:bCs/>
          <w:sz w:val="32"/>
          <w:szCs w:val="32"/>
          <w:highlight w:val="none"/>
        </w:rPr>
      </w:pPr>
      <w:r>
        <w:rPr>
          <w:rFonts w:hint="eastAsia" w:ascii="仿宋_GB2312" w:hAnsi="黑体" w:eastAsia="仿宋_GB2312"/>
          <w:b/>
          <w:bCs/>
          <w:sz w:val="32"/>
          <w:szCs w:val="32"/>
          <w:highlight w:val="none"/>
        </w:rPr>
        <w:t>5. 支付</w:t>
      </w:r>
    </w:p>
    <w:p>
      <w:pPr>
        <w:snapToGrid w:val="0"/>
        <w:spacing w:line="360" w:lineRule="auto"/>
        <w:ind w:left="21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5.1 </w:t>
      </w:r>
      <w:r>
        <w:rPr>
          <w:rFonts w:hint="eastAsia" w:ascii="仿宋_GB2312" w:hAnsi="宋体" w:eastAsia="仿宋_GB2312"/>
          <w:bCs/>
          <w:sz w:val="32"/>
          <w:szCs w:val="32"/>
          <w:highlight w:val="none"/>
        </w:rPr>
        <w:t>支付货币</w:t>
      </w:r>
    </w:p>
    <w:p>
      <w:pPr>
        <w:snapToGrid w:val="0"/>
        <w:spacing w:line="360" w:lineRule="auto"/>
        <w:ind w:firstLine="640" w:firstLineChars="200"/>
        <w:rPr>
          <w:rFonts w:hint="eastAsia" w:ascii="仿宋_GB2312" w:hAnsi="宋体" w:eastAsia="仿宋_GB2312"/>
          <w:bCs/>
          <w:sz w:val="32"/>
          <w:szCs w:val="32"/>
          <w:highlight w:val="none"/>
        </w:rPr>
      </w:pPr>
      <w:r>
        <w:rPr>
          <w:rFonts w:hint="eastAsia" w:ascii="仿宋_GB2312" w:eastAsia="仿宋_GB2312"/>
          <w:sz w:val="32"/>
          <w:szCs w:val="32"/>
          <w:highlight w:val="none"/>
        </w:rPr>
        <w:t>除专用条件另有约定外，酬金均以人民币支付。涉及外币支付的，</w:t>
      </w:r>
      <w:r>
        <w:rPr>
          <w:rFonts w:hint="eastAsia" w:ascii="仿宋_GB2312" w:hAnsi="宋体" w:eastAsia="仿宋_GB2312"/>
          <w:sz w:val="32"/>
          <w:szCs w:val="32"/>
          <w:highlight w:val="none"/>
        </w:rPr>
        <w:t>所采用的货币种类、比例和汇率在专用条件中约定。</w:t>
      </w:r>
    </w:p>
    <w:p>
      <w:pPr>
        <w:snapToGrid w:val="0"/>
        <w:spacing w:line="360" w:lineRule="auto"/>
        <w:ind w:left="21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5.2 </w:t>
      </w:r>
      <w:r>
        <w:rPr>
          <w:rFonts w:hint="eastAsia" w:ascii="仿宋_GB2312" w:hAnsi="宋体" w:eastAsia="仿宋_GB2312"/>
          <w:sz w:val="32"/>
          <w:szCs w:val="32"/>
          <w:highlight w:val="none"/>
        </w:rPr>
        <w:t>支付申请</w:t>
      </w:r>
    </w:p>
    <w:p>
      <w:pPr>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监理人应在本合同约定的每次应付款时间的7天前，向委托人提交支付申请书。支付申请书应当说明当期应付款总额，并列出当期应支付的款项及其金额。</w:t>
      </w:r>
    </w:p>
    <w:p>
      <w:pPr>
        <w:snapToGrid w:val="0"/>
        <w:spacing w:line="360" w:lineRule="auto"/>
        <w:rPr>
          <w:rFonts w:hint="eastAsia" w:ascii="仿宋_GB2312" w:eastAsia="仿宋_GB2312"/>
          <w:sz w:val="32"/>
          <w:szCs w:val="32"/>
          <w:highlight w:val="none"/>
        </w:rPr>
      </w:pPr>
      <w:r>
        <w:rPr>
          <w:rFonts w:hint="eastAsia" w:ascii="仿宋_GB2312" w:eastAsia="仿宋_GB2312"/>
          <w:sz w:val="32"/>
          <w:szCs w:val="32"/>
          <w:highlight w:val="none"/>
        </w:rPr>
        <w:t xml:space="preserve"> 5.3 支付酬金</w:t>
      </w:r>
    </w:p>
    <w:p>
      <w:pPr>
        <w:snapToGrid w:val="0"/>
        <w:spacing w:line="360" w:lineRule="auto"/>
        <w:ind w:firstLine="480"/>
        <w:rPr>
          <w:rFonts w:hint="eastAsia" w:ascii="仿宋_GB2312" w:eastAsia="仿宋_GB2312"/>
          <w:sz w:val="32"/>
          <w:szCs w:val="32"/>
          <w:highlight w:val="none"/>
        </w:rPr>
      </w:pPr>
      <w:r>
        <w:rPr>
          <w:rFonts w:hint="eastAsia" w:ascii="仿宋_GB2312" w:eastAsia="仿宋_GB2312"/>
          <w:sz w:val="32"/>
          <w:szCs w:val="32"/>
          <w:highlight w:val="none"/>
        </w:rPr>
        <w:t>支付的</w:t>
      </w:r>
      <w:r>
        <w:rPr>
          <w:rFonts w:hint="eastAsia" w:ascii="仿宋_GB2312" w:hAnsi="宋体" w:eastAsia="仿宋_GB2312"/>
          <w:sz w:val="32"/>
          <w:szCs w:val="32"/>
          <w:highlight w:val="none"/>
        </w:rPr>
        <w:t>酬金</w:t>
      </w:r>
      <w:r>
        <w:rPr>
          <w:rFonts w:hint="eastAsia" w:ascii="仿宋_GB2312" w:eastAsia="仿宋_GB2312"/>
          <w:sz w:val="32"/>
          <w:szCs w:val="32"/>
          <w:highlight w:val="none"/>
        </w:rPr>
        <w:t>包括正常工作酬金、附加工作酬金、合理化建议奖励金额及费用。</w:t>
      </w:r>
    </w:p>
    <w:p>
      <w:pPr>
        <w:snapToGrid w:val="0"/>
        <w:spacing w:line="360" w:lineRule="auto"/>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  5.4 </w:t>
      </w:r>
      <w:r>
        <w:rPr>
          <w:rFonts w:hint="eastAsia" w:ascii="仿宋_GB2312" w:hAnsi="宋体" w:eastAsia="仿宋_GB2312"/>
          <w:bCs/>
          <w:sz w:val="32"/>
          <w:szCs w:val="32"/>
          <w:highlight w:val="none"/>
        </w:rPr>
        <w:t>有争议部分的付款</w:t>
      </w:r>
    </w:p>
    <w:p>
      <w:pPr>
        <w:snapToGrid w:val="0"/>
        <w:spacing w:line="360" w:lineRule="auto"/>
        <w:ind w:firstLine="640" w:firstLineChars="200"/>
        <w:rPr>
          <w:rFonts w:hint="eastAsia" w:ascii="仿宋_GB2312" w:hAnsi="宋体" w:eastAsia="仿宋_GB2312"/>
          <w:sz w:val="24"/>
          <w:highlight w:val="none"/>
        </w:rPr>
      </w:pPr>
      <w:r>
        <w:rPr>
          <w:rFonts w:hint="eastAsia" w:ascii="仿宋_GB2312" w:hAnsi="宋体" w:eastAsia="仿宋_GB2312"/>
          <w:sz w:val="32"/>
          <w:szCs w:val="32"/>
          <w:highlight w:val="none"/>
        </w:rPr>
        <w:t>委托人对监理人提交的支付申请书有异议时，应当在收到监理人提交的支付申请书后</w:t>
      </w:r>
      <w:r>
        <w:rPr>
          <w:rFonts w:hint="eastAsia" w:ascii="仿宋_GB2312" w:eastAsia="仿宋_GB2312"/>
          <w:sz w:val="32"/>
          <w:szCs w:val="32"/>
          <w:highlight w:val="none"/>
        </w:rPr>
        <w:t>7</w:t>
      </w:r>
      <w:r>
        <w:rPr>
          <w:rFonts w:hint="eastAsia" w:ascii="仿宋_GB2312" w:hAnsi="宋体" w:eastAsia="仿宋_GB2312"/>
          <w:sz w:val="32"/>
          <w:szCs w:val="32"/>
          <w:highlight w:val="none"/>
        </w:rPr>
        <w:t>天内，以书面形式向监理人发出异议通知。无异议部分的款项应按期支付，有异议部分的款项按第7条约定办理。</w:t>
      </w:r>
    </w:p>
    <w:p>
      <w:pPr>
        <w:snapToGrid w:val="0"/>
        <w:spacing w:line="360" w:lineRule="auto"/>
        <w:rPr>
          <w:rFonts w:hint="eastAsia" w:ascii="仿宋_GB2312" w:hAnsi="黑体" w:eastAsia="仿宋_GB2312"/>
          <w:b/>
          <w:bCs/>
          <w:color w:val="FF0000"/>
          <w:sz w:val="32"/>
          <w:szCs w:val="32"/>
          <w:highlight w:val="none"/>
        </w:rPr>
      </w:pPr>
      <w:r>
        <w:rPr>
          <w:rFonts w:hint="eastAsia" w:ascii="仿宋_GB2312" w:hAnsi="黑体" w:eastAsia="仿宋_GB2312"/>
          <w:b/>
          <w:bCs/>
          <w:sz w:val="32"/>
          <w:szCs w:val="32"/>
          <w:highlight w:val="none"/>
        </w:rPr>
        <w:t>6. 合同生效、变更、暂停、解除与终止</w:t>
      </w:r>
    </w:p>
    <w:p>
      <w:pPr>
        <w:spacing w:line="360" w:lineRule="auto"/>
        <w:ind w:left="210" w:leftChars="100"/>
        <w:rPr>
          <w:rFonts w:hint="eastAsia" w:ascii="仿宋_GB2312" w:hAnsi="宋体" w:eastAsia="仿宋_GB2312"/>
          <w:sz w:val="32"/>
          <w:szCs w:val="32"/>
          <w:highlight w:val="none"/>
        </w:rPr>
      </w:pPr>
      <w:r>
        <w:rPr>
          <w:rFonts w:hint="eastAsia" w:ascii="仿宋_GB2312" w:eastAsia="仿宋_GB2312"/>
          <w:sz w:val="32"/>
          <w:szCs w:val="32"/>
          <w:highlight w:val="none"/>
        </w:rPr>
        <w:t>6.1</w:t>
      </w:r>
      <w:r>
        <w:rPr>
          <w:rFonts w:hint="eastAsia" w:ascii="仿宋_GB2312" w:hAnsi="宋体" w:eastAsia="仿宋_GB2312"/>
          <w:sz w:val="32"/>
          <w:szCs w:val="32"/>
          <w:highlight w:val="none"/>
        </w:rPr>
        <w:t>生效</w:t>
      </w:r>
    </w:p>
    <w:p>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除法律另有规定或者专用条件另有约定外，委托人和监理人的法定代表人或其授权代理人在协议书上签字并盖单位章后本合同生效。</w:t>
      </w:r>
    </w:p>
    <w:p>
      <w:pPr>
        <w:snapToGrid w:val="0"/>
        <w:spacing w:line="360" w:lineRule="auto"/>
        <w:ind w:left="21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6.2</w:t>
      </w:r>
      <w:r>
        <w:rPr>
          <w:rFonts w:hint="eastAsia" w:ascii="仿宋_GB2312" w:hAnsi="宋体" w:eastAsia="仿宋_GB2312"/>
          <w:bCs/>
          <w:sz w:val="32"/>
          <w:szCs w:val="32"/>
          <w:highlight w:val="none"/>
        </w:rPr>
        <w:t>变更</w:t>
      </w:r>
    </w:p>
    <w:p>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6.2.1 任何一方提出变更请求时，双方经协商一致后可进行变更。</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6.2.2除不可抗力外，因非监理人原因导致监理人履行合同期限延长</w:t>
      </w:r>
      <w:r>
        <w:rPr>
          <w:rFonts w:hint="eastAsia" w:ascii="仿宋_GB2312" w:hAnsi="宋体" w:eastAsia="仿宋_GB2312"/>
          <w:sz w:val="32"/>
          <w:szCs w:val="32"/>
          <w:highlight w:val="none"/>
        </w:rPr>
        <w:t>、内容增加</w:t>
      </w:r>
      <w:r>
        <w:rPr>
          <w:rFonts w:hint="eastAsia" w:ascii="仿宋_GB2312" w:eastAsia="仿宋_GB2312"/>
          <w:sz w:val="32"/>
          <w:szCs w:val="32"/>
          <w:highlight w:val="none"/>
        </w:rPr>
        <w:t>时，监理人应当将此情况与可能产生的影响及时通知委托人。增加的监理工作时间、工作内容应视为附加工作。附加工作酬金的确定方法在</w:t>
      </w:r>
      <w:r>
        <w:rPr>
          <w:rFonts w:hint="eastAsia" w:ascii="仿宋_GB2312" w:hAnsi="宋体" w:eastAsia="仿宋_GB2312"/>
          <w:sz w:val="32"/>
          <w:szCs w:val="32"/>
          <w:highlight w:val="none"/>
        </w:rPr>
        <w:t>专用条件中约定</w:t>
      </w:r>
      <w:r>
        <w:rPr>
          <w:rFonts w:hint="eastAsia" w:ascii="仿宋_GB2312" w:eastAsia="仿宋_GB2312"/>
          <w:sz w:val="32"/>
          <w:szCs w:val="32"/>
          <w:highlight w:val="none"/>
        </w:rPr>
        <w:t>。</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6.2.3</w:t>
      </w:r>
      <w:r>
        <w:rPr>
          <w:rFonts w:hint="eastAsia" w:ascii="仿宋_GB2312" w:hAnsi="宋体" w:eastAsia="仿宋_GB2312"/>
          <w:sz w:val="32"/>
          <w:szCs w:val="32"/>
          <w:highlight w:val="none"/>
        </w:rPr>
        <w:t>合同生效后，如果实际情况发生变化使得监理人不能完成全部或部分工作时，监理人应立即通知委托人。除不可抗力外，其善后工作以及恢复服务的准备工作应为附加工作，</w:t>
      </w:r>
      <w:r>
        <w:rPr>
          <w:rFonts w:hint="eastAsia" w:ascii="仿宋_GB2312" w:eastAsia="仿宋_GB2312"/>
          <w:sz w:val="32"/>
          <w:szCs w:val="32"/>
          <w:highlight w:val="none"/>
        </w:rPr>
        <w:t>附加工作酬金的确定方法在</w:t>
      </w:r>
      <w:r>
        <w:rPr>
          <w:rFonts w:hint="eastAsia" w:ascii="仿宋_GB2312" w:hAnsi="宋体" w:eastAsia="仿宋_GB2312"/>
          <w:sz w:val="32"/>
          <w:szCs w:val="32"/>
          <w:highlight w:val="none"/>
        </w:rPr>
        <w:t>专用条件中约定。监理人用于恢复服务的准备时间不应超过</w:t>
      </w:r>
      <w:r>
        <w:rPr>
          <w:rFonts w:hint="eastAsia" w:ascii="仿宋_GB2312" w:eastAsia="仿宋_GB2312"/>
          <w:sz w:val="32"/>
          <w:szCs w:val="32"/>
          <w:highlight w:val="none"/>
        </w:rPr>
        <w:t>28</w:t>
      </w:r>
      <w:r>
        <w:rPr>
          <w:rFonts w:hint="eastAsia" w:ascii="仿宋_GB2312" w:hAnsi="宋体" w:eastAsia="仿宋_GB2312"/>
          <w:sz w:val="32"/>
          <w:szCs w:val="32"/>
          <w:highlight w:val="none"/>
        </w:rPr>
        <w:t>天。</w:t>
      </w:r>
    </w:p>
    <w:p>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6.2.4</w:t>
      </w:r>
      <w:r>
        <w:rPr>
          <w:rFonts w:hint="eastAsia" w:ascii="仿宋_GB2312" w:hAnsi="宋体" w:eastAsia="仿宋_GB2312"/>
          <w:sz w:val="32"/>
          <w:szCs w:val="32"/>
          <w:highlight w:val="none"/>
        </w:rPr>
        <w:t>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6.2.5 因非监理人原因造成工程概算投资额或建筑安装工程费增加时，正常工作酬金应作相应调整。调整方法在专用条件中约定。</w:t>
      </w:r>
    </w:p>
    <w:p>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6.2.6 因工程规模、监理范围的变化导致监理人的正常工作量减少时，正常工作酬金应作相应调整。调整方法在专用条件中约定。</w:t>
      </w:r>
    </w:p>
    <w:p>
      <w:pPr>
        <w:snapToGrid w:val="0"/>
        <w:spacing w:line="360" w:lineRule="auto"/>
        <w:rPr>
          <w:rFonts w:hint="eastAsia" w:ascii="仿宋_GB2312" w:hAnsi="宋体" w:eastAsia="仿宋_GB2312"/>
          <w:bCs/>
          <w:sz w:val="32"/>
          <w:szCs w:val="32"/>
          <w:highlight w:val="none"/>
        </w:rPr>
      </w:pPr>
      <w:r>
        <w:rPr>
          <w:rFonts w:hint="eastAsia" w:ascii="仿宋_GB2312" w:hAnsi="宋体" w:eastAsia="仿宋_GB2312"/>
          <w:sz w:val="32"/>
          <w:szCs w:val="32"/>
          <w:highlight w:val="none"/>
        </w:rPr>
        <w:t xml:space="preserve">  6.3 暂停与</w:t>
      </w:r>
      <w:r>
        <w:rPr>
          <w:rFonts w:hint="eastAsia" w:ascii="仿宋_GB2312" w:hAnsi="宋体" w:eastAsia="仿宋_GB2312"/>
          <w:bCs/>
          <w:sz w:val="32"/>
          <w:szCs w:val="32"/>
          <w:highlight w:val="none"/>
        </w:rPr>
        <w:t>解除</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除</w:t>
      </w:r>
      <w:r>
        <w:rPr>
          <w:rFonts w:hint="eastAsia" w:ascii="仿宋_GB2312" w:hAnsi="宋体" w:eastAsia="仿宋_GB2312"/>
          <w:sz w:val="32"/>
          <w:szCs w:val="32"/>
          <w:highlight w:val="none"/>
        </w:rPr>
        <w:t>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6.3.1 </w:t>
      </w:r>
      <w:r>
        <w:rPr>
          <w:rFonts w:hint="eastAsia" w:ascii="仿宋_GB2312" w:hAnsi="宋体" w:eastAsia="仿宋_GB2312"/>
          <w:sz w:val="32"/>
          <w:szCs w:val="32"/>
          <w:highlight w:val="none"/>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解除本合同的协议必须采取书面形式，协议未达成之前，本合同仍然有效。</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6.3.2 </w:t>
      </w:r>
      <w:r>
        <w:rPr>
          <w:rFonts w:hint="eastAsia" w:ascii="仿宋_GB2312" w:hAnsi="宋体" w:eastAsia="仿宋_GB2312"/>
          <w:sz w:val="32"/>
          <w:szCs w:val="32"/>
          <w:highlight w:val="none"/>
        </w:rPr>
        <w:t>在本合同有效期内，因非监理人的原因导致工程施工全部或部分暂停，委托人可通知监理人要求暂停全部或部分工作。监理人应立即安排停止工作，并将开支减至最小。</w:t>
      </w:r>
      <w:r>
        <w:rPr>
          <w:rFonts w:hint="eastAsia" w:ascii="仿宋_GB2312" w:eastAsia="仿宋_GB2312"/>
          <w:sz w:val="32"/>
          <w:szCs w:val="32"/>
          <w:highlight w:val="none"/>
        </w:rPr>
        <w:t>除不可抗力外，</w:t>
      </w:r>
      <w:r>
        <w:rPr>
          <w:rFonts w:hint="eastAsia" w:ascii="仿宋_GB2312" w:hAnsi="宋体" w:eastAsia="仿宋_GB2312"/>
          <w:sz w:val="32"/>
          <w:szCs w:val="32"/>
          <w:highlight w:val="none"/>
        </w:rPr>
        <w:t>由此导致监理人遭受的损失应由委托人予以补偿。</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暂停部分监理与相关服务时间超过</w:t>
      </w:r>
      <w:r>
        <w:rPr>
          <w:rFonts w:hint="eastAsia" w:ascii="仿宋_GB2312" w:eastAsia="仿宋_GB2312"/>
          <w:sz w:val="32"/>
          <w:szCs w:val="32"/>
          <w:highlight w:val="none"/>
        </w:rPr>
        <w:t>182</w:t>
      </w:r>
      <w:r>
        <w:rPr>
          <w:rFonts w:hint="eastAsia" w:ascii="仿宋_GB2312" w:hAnsi="宋体" w:eastAsia="仿宋_GB2312"/>
          <w:sz w:val="32"/>
          <w:szCs w:val="32"/>
          <w:highlight w:val="none"/>
        </w:rPr>
        <w:t>天，监理人可发出解除本合同约定的该部分义务的通知；暂停全部工作时间超过</w:t>
      </w:r>
      <w:r>
        <w:rPr>
          <w:rFonts w:hint="eastAsia" w:ascii="仿宋_GB2312" w:eastAsia="仿宋_GB2312"/>
          <w:sz w:val="32"/>
          <w:szCs w:val="32"/>
          <w:highlight w:val="none"/>
        </w:rPr>
        <w:t>182</w:t>
      </w:r>
      <w:r>
        <w:rPr>
          <w:rFonts w:hint="eastAsia" w:ascii="仿宋_GB2312" w:hAnsi="宋体" w:eastAsia="仿宋_GB2312"/>
          <w:sz w:val="32"/>
          <w:szCs w:val="32"/>
          <w:highlight w:val="none"/>
        </w:rPr>
        <w:t>天，监理人可发出解除本合同的通知，本合同自通知到达委托人时解除。委托人应将监理与相关服务</w:t>
      </w:r>
      <w:r>
        <w:rPr>
          <w:rFonts w:hint="eastAsia" w:ascii="仿宋_GB2312" w:hAnsi="宋体" w:eastAsia="仿宋_GB2312"/>
          <w:kern w:val="0"/>
          <w:sz w:val="32"/>
          <w:szCs w:val="32"/>
          <w:highlight w:val="none"/>
        </w:rPr>
        <w:t>的</w:t>
      </w:r>
      <w:r>
        <w:rPr>
          <w:rFonts w:hint="eastAsia" w:ascii="仿宋_GB2312" w:hAnsi="宋体" w:eastAsia="仿宋_GB2312"/>
          <w:sz w:val="32"/>
          <w:szCs w:val="32"/>
          <w:highlight w:val="none"/>
        </w:rPr>
        <w:t>酬金支付至本合同解除日，且应承担第4.2款约定的责任。</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xml:space="preserve">6.3.3 </w:t>
      </w:r>
      <w:r>
        <w:rPr>
          <w:rFonts w:hint="eastAsia" w:ascii="仿宋_GB2312" w:hAnsi="宋体" w:eastAsia="仿宋_GB2312"/>
          <w:sz w:val="32"/>
          <w:szCs w:val="32"/>
          <w:highlight w:val="none"/>
        </w:rPr>
        <w:t>当监理人无正当理由未履行本合同约定的义务时，委托人应通知监理人限期改正。若委托人在监理人接到通知后的</w:t>
      </w:r>
      <w:r>
        <w:rPr>
          <w:rFonts w:hint="eastAsia" w:ascii="仿宋_GB2312" w:eastAsia="仿宋_GB2312"/>
          <w:sz w:val="32"/>
          <w:szCs w:val="32"/>
          <w:highlight w:val="none"/>
        </w:rPr>
        <w:t>7</w:t>
      </w:r>
      <w:r>
        <w:rPr>
          <w:rFonts w:hint="eastAsia" w:ascii="仿宋_GB2312" w:hAnsi="宋体" w:eastAsia="仿宋_GB2312"/>
          <w:sz w:val="32"/>
          <w:szCs w:val="32"/>
          <w:highlight w:val="none"/>
        </w:rPr>
        <w:t>天内未收到监理人书面形式的合理解释，则可在</w:t>
      </w:r>
      <w:r>
        <w:rPr>
          <w:rFonts w:hint="eastAsia" w:ascii="仿宋_GB2312" w:eastAsia="仿宋_GB2312"/>
          <w:sz w:val="32"/>
          <w:szCs w:val="32"/>
          <w:highlight w:val="none"/>
        </w:rPr>
        <w:t>7</w:t>
      </w:r>
      <w:r>
        <w:rPr>
          <w:rFonts w:hint="eastAsia" w:ascii="仿宋_GB2312" w:hAnsi="宋体" w:eastAsia="仿宋_GB2312"/>
          <w:sz w:val="32"/>
          <w:szCs w:val="32"/>
          <w:highlight w:val="none"/>
        </w:rPr>
        <w:t>天内发出解除本合同的通知，自通知到达监理人时本合同解除。委托人应将监理与相关服务</w:t>
      </w:r>
      <w:r>
        <w:rPr>
          <w:rFonts w:hint="eastAsia" w:ascii="仿宋_GB2312" w:hAnsi="宋体" w:eastAsia="仿宋_GB2312"/>
          <w:kern w:val="0"/>
          <w:sz w:val="32"/>
          <w:szCs w:val="32"/>
          <w:highlight w:val="none"/>
        </w:rPr>
        <w:t>的</w:t>
      </w:r>
      <w:r>
        <w:rPr>
          <w:rFonts w:hint="eastAsia" w:ascii="仿宋_GB2312" w:hAnsi="宋体" w:eastAsia="仿宋_GB2312"/>
          <w:sz w:val="32"/>
          <w:szCs w:val="32"/>
          <w:highlight w:val="none"/>
        </w:rPr>
        <w:t>酬金支付至</w:t>
      </w:r>
      <w:r>
        <w:rPr>
          <w:rFonts w:hint="eastAsia" w:ascii="仿宋_GB2312" w:hAnsi="宋体" w:eastAsia="仿宋_GB2312"/>
          <w:kern w:val="0"/>
          <w:sz w:val="32"/>
          <w:szCs w:val="32"/>
          <w:highlight w:val="none"/>
        </w:rPr>
        <w:t>限期改正通知到达监理人之日</w:t>
      </w:r>
      <w:r>
        <w:rPr>
          <w:rFonts w:hint="eastAsia" w:ascii="仿宋_GB2312" w:hAnsi="宋体" w:eastAsia="仿宋_GB2312"/>
          <w:sz w:val="32"/>
          <w:szCs w:val="32"/>
          <w:highlight w:val="none"/>
        </w:rPr>
        <w:t>，但监理人应承担第4.1款约定的责任。</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6.3.4 </w:t>
      </w:r>
      <w:r>
        <w:rPr>
          <w:rFonts w:hint="eastAsia" w:ascii="仿宋_GB2312" w:hAnsi="宋体" w:eastAsia="仿宋_GB2312"/>
          <w:sz w:val="32"/>
          <w:szCs w:val="32"/>
          <w:highlight w:val="none"/>
        </w:rPr>
        <w:t>监理人在专用条件5.3中约定的支付之日起</w:t>
      </w:r>
      <w:r>
        <w:rPr>
          <w:rFonts w:hint="eastAsia" w:ascii="仿宋_GB2312" w:eastAsia="仿宋_GB2312"/>
          <w:sz w:val="32"/>
          <w:szCs w:val="32"/>
          <w:highlight w:val="none"/>
        </w:rPr>
        <w:t>28</w:t>
      </w:r>
      <w:r>
        <w:rPr>
          <w:rFonts w:hint="eastAsia" w:ascii="仿宋_GB2312" w:hAnsi="宋体" w:eastAsia="仿宋_GB2312"/>
          <w:sz w:val="32"/>
          <w:szCs w:val="32"/>
          <w:highlight w:val="none"/>
        </w:rPr>
        <w:t>天后仍未收到委托人按本合同约定应付的款项，可向委托人发出催付通知。委托人接到通知</w:t>
      </w:r>
      <w:r>
        <w:rPr>
          <w:rFonts w:hint="eastAsia" w:ascii="仿宋_GB2312" w:eastAsia="仿宋_GB2312"/>
          <w:sz w:val="32"/>
          <w:szCs w:val="32"/>
          <w:highlight w:val="none"/>
        </w:rPr>
        <w:t>14</w:t>
      </w:r>
      <w:r>
        <w:rPr>
          <w:rFonts w:hint="eastAsia" w:ascii="仿宋_GB2312" w:hAnsi="宋体" w:eastAsia="仿宋_GB2312"/>
          <w:sz w:val="32"/>
          <w:szCs w:val="32"/>
          <w:highlight w:val="none"/>
        </w:rPr>
        <w:t>天后仍未支付或未提出监理人可以接受的延期支付安排，监理人可向委托人发出暂停工作的通知并可自行暂停全部或部分工作。暂停工作后</w:t>
      </w:r>
      <w:r>
        <w:rPr>
          <w:rFonts w:hint="eastAsia" w:ascii="仿宋_GB2312" w:eastAsia="仿宋_GB2312"/>
          <w:sz w:val="32"/>
          <w:szCs w:val="32"/>
          <w:highlight w:val="none"/>
        </w:rPr>
        <w:t>14</w:t>
      </w:r>
      <w:r>
        <w:rPr>
          <w:rFonts w:hint="eastAsia" w:ascii="仿宋_GB2312" w:hAnsi="宋体" w:eastAsia="仿宋_GB2312"/>
          <w:sz w:val="32"/>
          <w:szCs w:val="32"/>
          <w:highlight w:val="none"/>
        </w:rPr>
        <w:t>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hAnsi="宋体" w:eastAsia="仿宋_GB2312"/>
          <w:sz w:val="32"/>
          <w:szCs w:val="32"/>
          <w:highlight w:val="none"/>
        </w:rPr>
        <w:t>6.3.5 因不可抗力致使本合同部分或全部不能履行时，一方应立即通知另一方，可暂停或解除本合同。</w:t>
      </w:r>
    </w:p>
    <w:p>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6.3.6 </w:t>
      </w:r>
      <w:r>
        <w:rPr>
          <w:rFonts w:hint="eastAsia" w:ascii="仿宋_GB2312" w:hAnsi="宋体" w:eastAsia="仿宋_GB2312"/>
          <w:sz w:val="32"/>
          <w:szCs w:val="32"/>
          <w:highlight w:val="none"/>
        </w:rPr>
        <w:t>本合同解除后，本合同约定的有关结算、清理、争议解决方式的条件仍然有效。</w:t>
      </w:r>
    </w:p>
    <w:p>
      <w:pPr>
        <w:snapToGrid w:val="0"/>
        <w:spacing w:line="360" w:lineRule="auto"/>
        <w:ind w:left="21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6.4 </w:t>
      </w:r>
      <w:r>
        <w:rPr>
          <w:rFonts w:hint="eastAsia" w:ascii="仿宋_GB2312" w:hAnsi="宋体" w:eastAsia="仿宋_GB2312"/>
          <w:bCs/>
          <w:sz w:val="32"/>
          <w:szCs w:val="32"/>
          <w:highlight w:val="none"/>
        </w:rPr>
        <w:t>终止</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以下条件全部满足时，本合同即告终止：</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1</w:t>
      </w:r>
      <w:r>
        <w:rPr>
          <w:rFonts w:hint="eastAsia" w:ascii="仿宋_GB2312" w:hAnsi="宋体" w:eastAsia="仿宋_GB2312"/>
          <w:sz w:val="32"/>
          <w:szCs w:val="32"/>
          <w:highlight w:val="none"/>
        </w:rPr>
        <w:t>）监理人完成本合同约定的全部工作；</w:t>
      </w:r>
    </w:p>
    <w:p>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eastAsia="仿宋_GB2312"/>
          <w:sz w:val="32"/>
          <w:szCs w:val="32"/>
          <w:highlight w:val="none"/>
        </w:rPr>
        <w:t>2</w:t>
      </w:r>
      <w:r>
        <w:rPr>
          <w:rFonts w:hint="eastAsia" w:ascii="仿宋_GB2312" w:hAnsi="宋体" w:eastAsia="仿宋_GB2312"/>
          <w:sz w:val="32"/>
          <w:szCs w:val="32"/>
          <w:highlight w:val="none"/>
        </w:rPr>
        <w:t>）委托人与监理人结清并支付全部酬金。</w:t>
      </w:r>
    </w:p>
    <w:p>
      <w:pPr>
        <w:snapToGrid w:val="0"/>
        <w:spacing w:line="360" w:lineRule="auto"/>
        <w:rPr>
          <w:rFonts w:hint="eastAsia" w:ascii="仿宋_GB2312" w:hAnsi="宋体" w:eastAsia="仿宋_GB2312"/>
          <w:b/>
          <w:bCs/>
          <w:sz w:val="32"/>
          <w:szCs w:val="32"/>
          <w:highlight w:val="none"/>
        </w:rPr>
      </w:pPr>
      <w:r>
        <w:rPr>
          <w:rFonts w:hint="eastAsia" w:ascii="仿宋_GB2312" w:hAnsi="黑体" w:eastAsia="仿宋_GB2312"/>
          <w:b/>
          <w:bCs/>
          <w:sz w:val="32"/>
          <w:szCs w:val="32"/>
          <w:highlight w:val="none"/>
        </w:rPr>
        <w:t>7. 争议解决</w:t>
      </w:r>
    </w:p>
    <w:p>
      <w:pPr>
        <w:snapToGrid w:val="0"/>
        <w:spacing w:line="360" w:lineRule="auto"/>
        <w:ind w:left="21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7.1</w:t>
      </w:r>
      <w:r>
        <w:rPr>
          <w:rFonts w:hint="eastAsia" w:ascii="仿宋_GB2312" w:hAnsi="宋体" w:eastAsia="仿宋_GB2312"/>
          <w:bCs/>
          <w:sz w:val="32"/>
          <w:szCs w:val="32"/>
          <w:highlight w:val="none"/>
        </w:rPr>
        <w:t>协商</w:t>
      </w:r>
    </w:p>
    <w:p>
      <w:pPr>
        <w:snapToGrid w:val="0"/>
        <w:spacing w:line="360" w:lineRule="auto"/>
        <w:ind w:firstLine="640" w:firstLineChars="200"/>
        <w:rPr>
          <w:rFonts w:hint="eastAsia" w:ascii="仿宋_GB2312" w:hAnsi="宋体" w:eastAsia="仿宋_GB2312"/>
          <w:bCs/>
          <w:sz w:val="32"/>
          <w:szCs w:val="32"/>
          <w:highlight w:val="none"/>
        </w:rPr>
      </w:pPr>
      <w:r>
        <w:rPr>
          <w:rFonts w:hint="eastAsia" w:ascii="仿宋_GB2312" w:hAnsi="宋体" w:eastAsia="仿宋_GB2312"/>
          <w:sz w:val="32"/>
          <w:szCs w:val="32"/>
          <w:highlight w:val="none"/>
        </w:rPr>
        <w:t>双方应本着诚信原则协商解决彼此间的争议。</w:t>
      </w:r>
    </w:p>
    <w:p>
      <w:pPr>
        <w:snapToGrid w:val="0"/>
        <w:spacing w:line="360" w:lineRule="auto"/>
        <w:ind w:left="21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7.2</w:t>
      </w:r>
      <w:r>
        <w:rPr>
          <w:rFonts w:hint="eastAsia" w:ascii="仿宋_GB2312" w:hAnsi="宋体" w:eastAsia="仿宋_GB2312"/>
          <w:bCs/>
          <w:sz w:val="32"/>
          <w:szCs w:val="32"/>
          <w:highlight w:val="none"/>
        </w:rPr>
        <w:t>调解</w:t>
      </w:r>
    </w:p>
    <w:p>
      <w:pPr>
        <w:snapToGrid w:val="0"/>
        <w:spacing w:line="360" w:lineRule="auto"/>
        <w:ind w:firstLine="640" w:firstLineChars="200"/>
        <w:rPr>
          <w:rFonts w:hint="eastAsia" w:ascii="仿宋_GB2312" w:hAnsi="宋体" w:eastAsia="仿宋_GB2312"/>
          <w:bCs/>
          <w:sz w:val="32"/>
          <w:szCs w:val="32"/>
          <w:highlight w:val="none"/>
        </w:rPr>
      </w:pPr>
      <w:r>
        <w:rPr>
          <w:rFonts w:hint="eastAsia" w:ascii="仿宋_GB2312" w:hAnsi="宋体" w:eastAsia="仿宋_GB2312"/>
          <w:sz w:val="32"/>
          <w:szCs w:val="32"/>
          <w:highlight w:val="none"/>
        </w:rPr>
        <w:t>如果双方不能在</w:t>
      </w:r>
      <w:r>
        <w:rPr>
          <w:rFonts w:hint="eastAsia" w:ascii="仿宋_GB2312" w:eastAsia="仿宋_GB2312"/>
          <w:sz w:val="32"/>
          <w:szCs w:val="32"/>
          <w:highlight w:val="none"/>
        </w:rPr>
        <w:t>14</w:t>
      </w:r>
      <w:r>
        <w:rPr>
          <w:rFonts w:hint="eastAsia" w:ascii="仿宋_GB2312" w:hAnsi="宋体" w:eastAsia="仿宋_GB2312"/>
          <w:sz w:val="32"/>
          <w:szCs w:val="32"/>
          <w:highlight w:val="none"/>
        </w:rPr>
        <w:t>天内或双方商定的其他时间内解决本合同争议，可以将其提交给专用条件约定的或事后达成协议的调解人进行调解。</w:t>
      </w:r>
    </w:p>
    <w:p>
      <w:pPr>
        <w:snapToGrid w:val="0"/>
        <w:spacing w:line="360" w:lineRule="auto"/>
        <w:ind w:left="21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7.3</w:t>
      </w:r>
      <w:r>
        <w:rPr>
          <w:rFonts w:hint="eastAsia" w:ascii="仿宋_GB2312" w:hAnsi="宋体" w:eastAsia="仿宋_GB2312"/>
          <w:bCs/>
          <w:sz w:val="32"/>
          <w:szCs w:val="32"/>
          <w:highlight w:val="none"/>
        </w:rPr>
        <w:t>仲裁或诉讼</w:t>
      </w:r>
    </w:p>
    <w:p>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双方均有权不经调解直接向专用条件约定的仲裁机构申请仲裁或向有管辖权的人民法院提起诉讼。</w:t>
      </w:r>
    </w:p>
    <w:p>
      <w:pPr>
        <w:snapToGrid w:val="0"/>
        <w:spacing w:line="360" w:lineRule="auto"/>
        <w:rPr>
          <w:rFonts w:hint="eastAsia" w:ascii="仿宋_GB2312" w:hAnsi="宋体" w:eastAsia="仿宋_GB2312"/>
          <w:b/>
          <w:bCs/>
          <w:sz w:val="32"/>
          <w:szCs w:val="32"/>
          <w:highlight w:val="none"/>
        </w:rPr>
      </w:pPr>
      <w:r>
        <w:rPr>
          <w:rFonts w:hint="eastAsia" w:ascii="仿宋_GB2312" w:hAnsi="黑体" w:eastAsia="仿宋_GB2312"/>
          <w:b/>
          <w:bCs/>
          <w:sz w:val="32"/>
          <w:szCs w:val="32"/>
          <w:highlight w:val="none"/>
        </w:rPr>
        <w:t>8. 其他</w:t>
      </w:r>
    </w:p>
    <w:p>
      <w:pPr>
        <w:spacing w:line="360" w:lineRule="auto"/>
        <w:ind w:left="21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8.1 </w:t>
      </w:r>
      <w:r>
        <w:rPr>
          <w:rFonts w:hint="eastAsia" w:ascii="仿宋_GB2312" w:hAnsi="宋体" w:eastAsia="仿宋_GB2312"/>
          <w:bCs/>
          <w:sz w:val="32"/>
          <w:szCs w:val="32"/>
          <w:highlight w:val="none"/>
        </w:rPr>
        <w:t>外出考察费用</w:t>
      </w:r>
    </w:p>
    <w:p>
      <w:pPr>
        <w:snapToGrid w:val="0"/>
        <w:spacing w:line="360" w:lineRule="auto"/>
        <w:ind w:firstLine="640" w:firstLineChars="200"/>
        <w:rPr>
          <w:rFonts w:hint="eastAsia" w:ascii="仿宋_GB2312" w:hAnsi="宋体" w:eastAsia="仿宋_GB2312"/>
          <w:bCs/>
          <w:sz w:val="32"/>
          <w:szCs w:val="32"/>
          <w:highlight w:val="none"/>
        </w:rPr>
      </w:pPr>
      <w:r>
        <w:rPr>
          <w:rFonts w:hint="eastAsia" w:ascii="仿宋_GB2312" w:hAnsi="宋体" w:eastAsia="仿宋_GB2312"/>
          <w:sz w:val="32"/>
          <w:szCs w:val="32"/>
          <w:highlight w:val="none"/>
        </w:rPr>
        <w:t>经委托人同意，监理人员外出考察发生的费用由委托人审核后支付。</w:t>
      </w:r>
    </w:p>
    <w:p>
      <w:pPr>
        <w:snapToGrid w:val="0"/>
        <w:spacing w:line="360" w:lineRule="auto"/>
        <w:ind w:left="21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8.2 </w:t>
      </w:r>
      <w:r>
        <w:rPr>
          <w:rFonts w:hint="eastAsia" w:ascii="仿宋_GB2312" w:hAnsi="宋体" w:eastAsia="仿宋_GB2312"/>
          <w:bCs/>
          <w:sz w:val="32"/>
          <w:szCs w:val="32"/>
          <w:highlight w:val="none"/>
        </w:rPr>
        <w:t>检测费用</w:t>
      </w:r>
    </w:p>
    <w:p>
      <w:pPr>
        <w:snapToGrid w:val="0"/>
        <w:spacing w:line="360" w:lineRule="auto"/>
        <w:ind w:firstLine="640" w:firstLineChars="200"/>
        <w:rPr>
          <w:rFonts w:hint="eastAsia" w:ascii="仿宋_GB2312" w:hAnsi="宋体" w:eastAsia="仿宋_GB2312"/>
          <w:bCs/>
          <w:sz w:val="32"/>
          <w:szCs w:val="32"/>
          <w:highlight w:val="none"/>
        </w:rPr>
      </w:pPr>
      <w:r>
        <w:rPr>
          <w:rFonts w:hint="eastAsia" w:ascii="仿宋_GB2312" w:hAnsi="宋体" w:eastAsia="仿宋_GB2312"/>
          <w:sz w:val="32"/>
          <w:szCs w:val="32"/>
          <w:highlight w:val="none"/>
        </w:rPr>
        <w:t>委托人要求监理人进行的材料和设备检测所发生的费用，由委托人支付，支付时间在专用条件中约定。</w:t>
      </w:r>
    </w:p>
    <w:p>
      <w:pPr>
        <w:snapToGrid w:val="0"/>
        <w:spacing w:line="360" w:lineRule="auto"/>
        <w:ind w:left="21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8.3 </w:t>
      </w:r>
      <w:r>
        <w:rPr>
          <w:rFonts w:hint="eastAsia" w:ascii="仿宋_GB2312" w:hAnsi="宋体" w:eastAsia="仿宋_GB2312"/>
          <w:bCs/>
          <w:sz w:val="32"/>
          <w:szCs w:val="32"/>
          <w:highlight w:val="none"/>
        </w:rPr>
        <w:t>咨询费用</w:t>
      </w:r>
    </w:p>
    <w:p>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经委托人同意，根据工程需要由监理人组织的相关咨询论证会以及聘请相关专家等发生的费用由委托人支付，支付时间在专用条件中约定。</w:t>
      </w:r>
    </w:p>
    <w:p>
      <w:pPr>
        <w:snapToGrid w:val="0"/>
        <w:spacing w:line="360" w:lineRule="auto"/>
        <w:ind w:left="21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8.4 </w:t>
      </w:r>
      <w:r>
        <w:rPr>
          <w:rFonts w:hint="eastAsia" w:ascii="仿宋_GB2312" w:hAnsi="宋体" w:eastAsia="仿宋_GB2312"/>
          <w:bCs/>
          <w:sz w:val="32"/>
          <w:szCs w:val="32"/>
          <w:highlight w:val="none"/>
        </w:rPr>
        <w:t>奖励</w:t>
      </w:r>
    </w:p>
    <w:p>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left="21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8.5 </w:t>
      </w:r>
      <w:r>
        <w:rPr>
          <w:rFonts w:hint="eastAsia" w:ascii="仿宋_GB2312" w:hAnsi="宋体" w:eastAsia="仿宋_GB2312"/>
          <w:bCs/>
          <w:sz w:val="32"/>
          <w:szCs w:val="32"/>
          <w:highlight w:val="none"/>
        </w:rPr>
        <w:t>守法诚信</w:t>
      </w:r>
    </w:p>
    <w:p>
      <w:pPr>
        <w:snapToGrid w:val="0"/>
        <w:spacing w:line="360" w:lineRule="auto"/>
        <w:ind w:firstLine="640" w:firstLineChars="200"/>
        <w:rPr>
          <w:rFonts w:hint="eastAsia" w:ascii="仿宋_GB2312" w:hAnsi="宋体" w:eastAsia="仿宋_GB2312"/>
          <w:bCs/>
          <w:sz w:val="32"/>
          <w:szCs w:val="32"/>
          <w:highlight w:val="none"/>
        </w:rPr>
      </w:pPr>
      <w:r>
        <w:rPr>
          <w:rFonts w:hint="eastAsia" w:ascii="仿宋_GB2312" w:hAnsi="宋体" w:eastAsia="仿宋_GB2312"/>
          <w:sz w:val="32"/>
          <w:szCs w:val="32"/>
          <w:highlight w:val="none"/>
        </w:rPr>
        <w:t>监理人及其工作人员不得从与实施工程有关的第三方处获得任何经济利益。</w:t>
      </w:r>
    </w:p>
    <w:p>
      <w:pPr>
        <w:snapToGrid w:val="0"/>
        <w:spacing w:line="360" w:lineRule="auto"/>
        <w:ind w:left="21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8.6 </w:t>
      </w:r>
      <w:r>
        <w:rPr>
          <w:rFonts w:hint="eastAsia" w:ascii="仿宋_GB2312" w:hAnsi="宋体" w:eastAsia="仿宋_GB2312"/>
          <w:bCs/>
          <w:sz w:val="32"/>
          <w:szCs w:val="32"/>
          <w:highlight w:val="none"/>
        </w:rPr>
        <w:t>保密</w:t>
      </w:r>
    </w:p>
    <w:p>
      <w:pPr>
        <w:snapToGrid w:val="0"/>
        <w:spacing w:line="360" w:lineRule="auto"/>
        <w:ind w:firstLine="640" w:firstLineChars="200"/>
        <w:rPr>
          <w:rFonts w:hint="eastAsia" w:ascii="仿宋_GB2312" w:hAnsi="宋体" w:eastAsia="仿宋_GB2312"/>
          <w:bCs/>
          <w:sz w:val="32"/>
          <w:szCs w:val="32"/>
          <w:highlight w:val="none"/>
        </w:rPr>
      </w:pPr>
      <w:r>
        <w:rPr>
          <w:rFonts w:hint="eastAsia" w:ascii="仿宋_GB2312" w:hAnsi="宋体" w:eastAsia="仿宋_GB2312"/>
          <w:sz w:val="32"/>
          <w:szCs w:val="32"/>
          <w:highlight w:val="none"/>
        </w:rPr>
        <w:t>双方不得泄露对方申明的保密资料，亦不得泄露与实施工程有关的第三方所提供的保密资料，保密事项在专用条件中约定。</w:t>
      </w:r>
    </w:p>
    <w:p>
      <w:pPr>
        <w:snapToGrid w:val="0"/>
        <w:spacing w:line="360" w:lineRule="auto"/>
        <w:ind w:left="21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8.7 </w:t>
      </w:r>
      <w:r>
        <w:rPr>
          <w:rFonts w:hint="eastAsia" w:ascii="仿宋_GB2312" w:hAnsi="宋体" w:eastAsia="仿宋_GB2312"/>
          <w:bCs/>
          <w:sz w:val="32"/>
          <w:szCs w:val="32"/>
          <w:highlight w:val="none"/>
        </w:rPr>
        <w:t>通知</w:t>
      </w:r>
    </w:p>
    <w:p>
      <w:pPr>
        <w:snapToGrid w:val="0"/>
        <w:spacing w:line="360" w:lineRule="auto"/>
        <w:ind w:firstLine="640" w:firstLineChars="200"/>
        <w:rPr>
          <w:rFonts w:hint="eastAsia" w:ascii="仿宋_GB2312" w:hAnsi="宋体" w:eastAsia="仿宋_GB2312"/>
          <w:bCs/>
          <w:sz w:val="32"/>
          <w:szCs w:val="32"/>
          <w:highlight w:val="none"/>
        </w:rPr>
      </w:pPr>
      <w:r>
        <w:rPr>
          <w:rFonts w:hint="eastAsia" w:ascii="仿宋_GB2312" w:hAnsi="宋体" w:eastAsia="仿宋_GB2312"/>
          <w:sz w:val="32"/>
          <w:szCs w:val="32"/>
          <w:highlight w:val="none"/>
        </w:rPr>
        <w:t>本合同涉及的通知均应当采用书面形式，并在送达对方时生效，收件人应书面签收。</w:t>
      </w:r>
    </w:p>
    <w:p>
      <w:pPr>
        <w:snapToGrid w:val="0"/>
        <w:spacing w:line="360" w:lineRule="auto"/>
        <w:ind w:left="210" w:leftChars="100"/>
        <w:rPr>
          <w:rFonts w:hint="eastAsia" w:ascii="仿宋_GB2312" w:hAnsi="宋体" w:eastAsia="仿宋_GB2312"/>
          <w:bCs/>
          <w:sz w:val="32"/>
          <w:szCs w:val="32"/>
          <w:highlight w:val="none"/>
        </w:rPr>
      </w:pPr>
      <w:r>
        <w:rPr>
          <w:rFonts w:hint="eastAsia" w:ascii="仿宋_GB2312" w:eastAsia="仿宋_GB2312"/>
          <w:sz w:val="32"/>
          <w:szCs w:val="32"/>
          <w:highlight w:val="none"/>
        </w:rPr>
        <w:t xml:space="preserve">8.8 </w:t>
      </w:r>
      <w:r>
        <w:rPr>
          <w:rFonts w:hint="eastAsia" w:ascii="仿宋_GB2312" w:hAnsi="宋体" w:eastAsia="仿宋_GB2312"/>
          <w:bCs/>
          <w:sz w:val="32"/>
          <w:szCs w:val="32"/>
          <w:highlight w:val="none"/>
        </w:rPr>
        <w:t>著作权</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监理人对其编制的文件拥有著作权。</w:t>
      </w:r>
    </w:p>
    <w:p>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第三部分  专用条件</w:t>
      </w:r>
    </w:p>
    <w:p>
      <w:pPr>
        <w:spacing w:line="360" w:lineRule="auto"/>
        <w:jc w:val="center"/>
        <w:rPr>
          <w:rFonts w:hint="eastAsia" w:ascii="仿宋_GB2312" w:hAnsi="宋体" w:eastAsia="仿宋_GB2312"/>
          <w:b/>
          <w:sz w:val="24"/>
          <w:highlight w:val="none"/>
        </w:rPr>
      </w:pPr>
    </w:p>
    <w:p>
      <w:pPr>
        <w:adjustRightInd w:val="0"/>
        <w:snapToGrid w:val="0"/>
        <w:spacing w:line="360" w:lineRule="auto"/>
        <w:rPr>
          <w:rFonts w:hint="eastAsia" w:ascii="仿宋_GB2312" w:hAnsi="黑体" w:eastAsia="仿宋_GB2312"/>
          <w:b/>
          <w:sz w:val="32"/>
          <w:szCs w:val="32"/>
          <w:highlight w:val="none"/>
        </w:rPr>
      </w:pPr>
      <w:r>
        <w:rPr>
          <w:rFonts w:hint="eastAsia" w:ascii="仿宋_GB2312" w:hAnsi="黑体" w:eastAsia="仿宋_GB2312"/>
          <w:b/>
          <w:sz w:val="32"/>
          <w:szCs w:val="32"/>
          <w:highlight w:val="none"/>
        </w:rPr>
        <w:t>1. 定义与解释</w:t>
      </w:r>
    </w:p>
    <w:p>
      <w:pPr>
        <w:adjustRightInd w:val="0"/>
        <w:snapToGrid w:val="0"/>
        <w:spacing w:line="360" w:lineRule="auto"/>
        <w:rPr>
          <w:rFonts w:hint="eastAsia" w:ascii="仿宋_GB2312" w:hAnsi="宋体" w:eastAsia="仿宋_GB2312"/>
          <w:sz w:val="32"/>
          <w:szCs w:val="32"/>
          <w:highlight w:val="none"/>
        </w:rPr>
      </w:pPr>
      <w:r>
        <w:rPr>
          <w:rFonts w:hint="eastAsia" w:ascii="仿宋_GB2312" w:hAnsi="宋体" w:eastAsia="仿宋_GB2312"/>
          <w:sz w:val="24"/>
          <w:highlight w:val="none"/>
        </w:rPr>
        <w:t xml:space="preserve">  </w:t>
      </w:r>
      <w:r>
        <w:rPr>
          <w:rFonts w:hint="eastAsia" w:ascii="仿宋_GB2312" w:eastAsia="仿宋_GB2312"/>
          <w:sz w:val="32"/>
          <w:szCs w:val="32"/>
          <w:highlight w:val="none"/>
        </w:rPr>
        <w:t>1.2</w:t>
      </w:r>
      <w:r>
        <w:rPr>
          <w:rFonts w:hint="eastAsia" w:ascii="仿宋_GB2312" w:hAnsi="宋体" w:eastAsia="仿宋_GB2312"/>
          <w:sz w:val="32"/>
          <w:szCs w:val="32"/>
          <w:highlight w:val="none"/>
        </w:rPr>
        <w:t xml:space="preserve">  解释</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1.2.1 本合同文件除使用中文外，还可用</w:t>
      </w:r>
      <w:r>
        <w:rPr>
          <w:rFonts w:hint="eastAsia" w:ascii="仿宋_GB2312" w:eastAsia="仿宋_GB2312"/>
          <w:sz w:val="32"/>
          <w:szCs w:val="32"/>
          <w:highlight w:val="none"/>
          <w:u w:val="single"/>
        </w:rPr>
        <w:t xml:space="preserve">   </w:t>
      </w:r>
      <w:r>
        <w:rPr>
          <w:rFonts w:hint="eastAsia" w:ascii="仿宋_GB2312" w:eastAsia="仿宋_GB2312"/>
          <w:sz w:val="24"/>
          <w:highlight w:val="none"/>
          <w:u w:val="single"/>
        </w:rPr>
        <w:t xml:space="preserve">      </w:t>
      </w:r>
      <w:r>
        <w:rPr>
          <w:rFonts w:hint="eastAsia" w:ascii="仿宋_GB2312" w:hAnsi="宋体" w:eastAsia="仿宋_GB2312"/>
          <w:sz w:val="32"/>
          <w:szCs w:val="32"/>
          <w:highlight w:val="none"/>
        </w:rPr>
        <w:t>。</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eastAsia="仿宋_GB2312"/>
          <w:sz w:val="32"/>
          <w:szCs w:val="32"/>
          <w:highlight w:val="none"/>
        </w:rPr>
        <w:t xml:space="preserve">1.2.2 </w:t>
      </w:r>
      <w:r>
        <w:rPr>
          <w:rFonts w:hint="eastAsia" w:ascii="仿宋_GB2312" w:hAnsi="宋体" w:eastAsia="仿宋_GB2312"/>
          <w:sz w:val="32"/>
          <w:szCs w:val="32"/>
          <w:highlight w:val="none"/>
        </w:rPr>
        <w:t>约定本合同文件的解释顺序为：</w:t>
      </w:r>
      <w:r>
        <w:rPr>
          <w:rFonts w:hint="eastAsia" w:ascii="仿宋_GB2312" w:eastAsia="仿宋_GB2312"/>
          <w:sz w:val="32"/>
          <w:szCs w:val="32"/>
          <w:highlight w:val="none"/>
          <w:u w:val="single"/>
        </w:rPr>
        <w:t xml:space="preserve">   </w:t>
      </w:r>
      <w:r>
        <w:rPr>
          <w:rFonts w:hint="eastAsia" w:ascii="仿宋_GB2312" w:eastAsia="仿宋_GB2312"/>
          <w:sz w:val="24"/>
          <w:highlight w:val="none"/>
          <w:u w:val="single"/>
        </w:rPr>
        <w:t xml:space="preserve">      </w:t>
      </w:r>
      <w:r>
        <w:rPr>
          <w:rFonts w:hint="eastAsia" w:ascii="仿宋_GB2312" w:hAnsi="宋体" w:eastAsia="仿宋_GB2312"/>
          <w:sz w:val="32"/>
          <w:szCs w:val="32"/>
          <w:highlight w:val="none"/>
        </w:rPr>
        <w:t>。</w:t>
      </w:r>
    </w:p>
    <w:p>
      <w:pPr>
        <w:adjustRightInd w:val="0"/>
        <w:snapToGrid w:val="0"/>
        <w:spacing w:line="360" w:lineRule="auto"/>
        <w:rPr>
          <w:rFonts w:hint="eastAsia" w:ascii="仿宋_GB2312" w:hAnsi="黑体" w:eastAsia="仿宋_GB2312"/>
          <w:b/>
          <w:sz w:val="32"/>
          <w:szCs w:val="32"/>
          <w:highlight w:val="none"/>
        </w:rPr>
      </w:pPr>
      <w:r>
        <w:rPr>
          <w:rFonts w:hint="eastAsia" w:ascii="仿宋_GB2312" w:hAnsi="黑体" w:eastAsia="仿宋_GB2312"/>
          <w:b/>
          <w:sz w:val="32"/>
          <w:szCs w:val="32"/>
          <w:highlight w:val="none"/>
        </w:rPr>
        <w:t>2. 监理人义务</w:t>
      </w:r>
    </w:p>
    <w:p>
      <w:pPr>
        <w:adjustRightInd w:val="0"/>
        <w:snapToGrid w:val="0"/>
        <w:spacing w:line="360" w:lineRule="auto"/>
        <w:ind w:firstLine="313" w:firstLineChars="98"/>
        <w:rPr>
          <w:rFonts w:hint="eastAsia" w:ascii="仿宋_GB2312" w:eastAsia="仿宋_GB2312"/>
          <w:sz w:val="32"/>
          <w:szCs w:val="32"/>
          <w:highlight w:val="none"/>
        </w:rPr>
      </w:pPr>
      <w:r>
        <w:rPr>
          <w:rFonts w:hint="eastAsia" w:ascii="仿宋_GB2312" w:eastAsia="仿宋_GB2312"/>
          <w:sz w:val="32"/>
          <w:szCs w:val="32"/>
          <w:highlight w:val="none"/>
        </w:rPr>
        <w:t xml:space="preserve">2.1 </w:t>
      </w:r>
      <w:r>
        <w:rPr>
          <w:rFonts w:hint="eastAsia" w:ascii="仿宋_GB2312" w:hAnsi="黑体" w:eastAsia="仿宋_GB2312"/>
          <w:sz w:val="32"/>
          <w:szCs w:val="32"/>
          <w:highlight w:val="none"/>
        </w:rPr>
        <w:t>监理的范围和</w:t>
      </w:r>
      <w:r>
        <w:rPr>
          <w:rFonts w:hint="eastAsia" w:ascii="仿宋_GB2312" w:hAnsi="宋体" w:eastAsia="仿宋_GB2312"/>
          <w:bCs/>
          <w:sz w:val="32"/>
          <w:szCs w:val="32"/>
          <w:highlight w:val="none"/>
        </w:rPr>
        <w:t>内容</w:t>
      </w:r>
    </w:p>
    <w:p>
      <w:pPr>
        <w:adjustRightInd w:val="0"/>
        <w:snapToGrid w:val="0"/>
        <w:spacing w:line="360" w:lineRule="auto"/>
        <w:ind w:firstLine="640" w:firstLineChars="200"/>
        <w:rPr>
          <w:rFonts w:hint="eastAsia" w:ascii="仿宋_GB2312" w:eastAsia="仿宋_GB2312"/>
          <w:sz w:val="24"/>
          <w:highlight w:val="none"/>
          <w:u w:val="single"/>
        </w:rPr>
      </w:pPr>
      <w:r>
        <w:rPr>
          <w:rFonts w:hint="eastAsia" w:ascii="仿宋_GB2312" w:eastAsia="仿宋_GB2312"/>
          <w:sz w:val="32"/>
          <w:szCs w:val="32"/>
          <w:highlight w:val="none"/>
        </w:rPr>
        <w:t xml:space="preserve">2.1.1 </w:t>
      </w:r>
      <w:r>
        <w:rPr>
          <w:rFonts w:hint="eastAsia" w:ascii="仿宋_GB2312" w:hAnsi="宋体" w:eastAsia="仿宋_GB2312"/>
          <w:sz w:val="32"/>
          <w:szCs w:val="32"/>
          <w:highlight w:val="none"/>
        </w:rPr>
        <w:t>监理范围包括：</w:t>
      </w:r>
      <w:r>
        <w:rPr>
          <w:rFonts w:hint="eastAsia" w:ascii="仿宋_GB2312" w:eastAsia="仿宋_GB2312"/>
          <w:sz w:val="24"/>
          <w:highlight w:val="none"/>
          <w:u w:val="single"/>
        </w:rPr>
        <w:t xml:space="preserve">                                  </w:t>
      </w:r>
    </w:p>
    <w:p>
      <w:pPr>
        <w:adjustRightInd w:val="0"/>
        <w:snapToGrid w:val="0"/>
        <w:spacing w:line="360" w:lineRule="auto"/>
        <w:rPr>
          <w:rFonts w:hint="eastAsia" w:ascii="仿宋_GB2312" w:hAnsi="宋体" w:eastAsia="仿宋_GB2312"/>
          <w:sz w:val="32"/>
          <w:szCs w:val="32"/>
          <w:highlight w:val="none"/>
        </w:rPr>
      </w:pP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w:t>
      </w:r>
    </w:p>
    <w:p>
      <w:pPr>
        <w:adjustRightInd w:val="0"/>
        <w:snapToGrid w:val="0"/>
        <w:spacing w:line="360" w:lineRule="auto"/>
        <w:ind w:firstLine="640" w:firstLineChars="200"/>
        <w:rPr>
          <w:rFonts w:hint="eastAsia" w:ascii="仿宋_GB2312" w:eastAsia="仿宋_GB2312"/>
          <w:sz w:val="32"/>
          <w:szCs w:val="32"/>
          <w:highlight w:val="none"/>
          <w:u w:val="single"/>
        </w:rPr>
      </w:pPr>
      <w:r>
        <w:rPr>
          <w:rFonts w:hint="eastAsia" w:ascii="仿宋_GB2312" w:eastAsia="仿宋_GB2312"/>
          <w:sz w:val="32"/>
          <w:szCs w:val="32"/>
          <w:highlight w:val="none"/>
        </w:rPr>
        <w:t xml:space="preserve">2.1.2 </w:t>
      </w:r>
      <w:r>
        <w:rPr>
          <w:rFonts w:hint="eastAsia" w:ascii="仿宋_GB2312" w:hAnsi="宋体" w:eastAsia="仿宋_GB2312"/>
          <w:sz w:val="32"/>
          <w:szCs w:val="32"/>
          <w:highlight w:val="none"/>
        </w:rPr>
        <w:t>监理工作内容还包括：</w:t>
      </w:r>
      <w:r>
        <w:rPr>
          <w:rFonts w:hint="eastAsia" w:ascii="仿宋_GB2312" w:eastAsia="仿宋_GB2312"/>
          <w:sz w:val="32"/>
          <w:szCs w:val="32"/>
          <w:highlight w:val="none"/>
          <w:u w:val="single"/>
        </w:rPr>
        <w:t xml:space="preserve">                     </w:t>
      </w:r>
    </w:p>
    <w:p>
      <w:pPr>
        <w:adjustRightInd w:val="0"/>
        <w:snapToGrid w:val="0"/>
        <w:spacing w:line="360" w:lineRule="auto"/>
        <w:rPr>
          <w:rFonts w:hint="eastAsia" w:ascii="仿宋_GB2312" w:hAnsi="宋体" w:eastAsia="仿宋_GB2312"/>
          <w:sz w:val="32"/>
          <w:szCs w:val="32"/>
          <w:highlight w:val="none"/>
        </w:rPr>
      </w:pP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w:t>
      </w:r>
    </w:p>
    <w:p>
      <w:pPr>
        <w:spacing w:line="360" w:lineRule="auto"/>
        <w:ind w:firstLine="313" w:firstLineChars="98"/>
        <w:rPr>
          <w:rFonts w:hint="eastAsia" w:ascii="仿宋_GB2312" w:eastAsia="仿宋_GB2312"/>
          <w:sz w:val="32"/>
          <w:szCs w:val="32"/>
          <w:highlight w:val="none"/>
        </w:rPr>
      </w:pPr>
      <w:r>
        <w:rPr>
          <w:rFonts w:hint="eastAsia" w:ascii="仿宋_GB2312" w:eastAsia="仿宋_GB2312"/>
          <w:sz w:val="32"/>
          <w:szCs w:val="32"/>
          <w:highlight w:val="none"/>
        </w:rPr>
        <w:t>2.2 监理与相关服务依据</w:t>
      </w:r>
    </w:p>
    <w:p>
      <w:pPr>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2.2.1 监理依据包括：</w:t>
      </w:r>
      <w:r>
        <w:rPr>
          <w:rFonts w:hint="eastAsia" w:ascii="仿宋_GB2312" w:eastAsia="仿宋_GB2312"/>
          <w:sz w:val="32"/>
          <w:szCs w:val="32"/>
          <w:highlight w:val="none"/>
          <w:u w:val="single"/>
        </w:rPr>
        <w:t xml:space="preserve">                          </w:t>
      </w:r>
    </w:p>
    <w:p>
      <w:pPr>
        <w:adjustRightInd w:val="0"/>
        <w:snapToGrid w:val="0"/>
        <w:spacing w:line="360" w:lineRule="auto"/>
        <w:rPr>
          <w:rFonts w:hint="eastAsia" w:ascii="仿宋_GB2312" w:eastAsia="仿宋_GB2312"/>
          <w:sz w:val="32"/>
          <w:szCs w:val="32"/>
          <w:highlight w:val="none"/>
        </w:rPr>
      </w:pP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w:t>
      </w:r>
    </w:p>
    <w:p>
      <w:pPr>
        <w:adjustRightInd w:val="0"/>
        <w:snapToGrid w:val="0"/>
        <w:spacing w:line="360" w:lineRule="auto"/>
        <w:ind w:firstLine="640" w:firstLineChars="200"/>
        <w:rPr>
          <w:rFonts w:hint="eastAsia" w:ascii="仿宋_GB2312" w:eastAsia="仿宋_GB2312"/>
          <w:dstrike/>
          <w:sz w:val="24"/>
          <w:highlight w:val="none"/>
        </w:rPr>
      </w:pPr>
      <w:r>
        <w:rPr>
          <w:rFonts w:hint="eastAsia" w:ascii="仿宋_GB2312" w:hAnsi="宋体" w:eastAsia="仿宋_GB2312"/>
          <w:sz w:val="32"/>
          <w:szCs w:val="32"/>
          <w:highlight w:val="none"/>
        </w:rPr>
        <w:t>2.2.2 相关服务依据包括：</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w:t>
      </w:r>
    </w:p>
    <w:p>
      <w:pPr>
        <w:spacing w:line="360" w:lineRule="auto"/>
        <w:rPr>
          <w:rFonts w:hint="eastAsia" w:ascii="仿宋_GB2312" w:eastAsia="仿宋_GB2312"/>
          <w:sz w:val="32"/>
          <w:szCs w:val="32"/>
          <w:highlight w:val="none"/>
        </w:rPr>
      </w:pPr>
      <w:r>
        <w:rPr>
          <w:rFonts w:hint="eastAsia" w:ascii="仿宋_GB2312" w:eastAsia="仿宋_GB2312"/>
          <w:sz w:val="24"/>
          <w:highlight w:val="none"/>
        </w:rPr>
        <w:t xml:space="preserve"> </w:t>
      </w:r>
      <w:r>
        <w:rPr>
          <w:rFonts w:hint="eastAsia" w:ascii="仿宋_GB2312" w:eastAsia="仿宋_GB2312"/>
          <w:sz w:val="32"/>
          <w:szCs w:val="32"/>
          <w:highlight w:val="none"/>
        </w:rPr>
        <w:t xml:space="preserve"> 2.3</w:t>
      </w:r>
      <w:r>
        <w:rPr>
          <w:rFonts w:hint="eastAsia" w:ascii="仿宋_GB2312" w:hAnsi="宋体" w:eastAsia="仿宋_GB2312" w:cs="宋体"/>
          <w:kern w:val="0"/>
          <w:sz w:val="32"/>
          <w:szCs w:val="32"/>
          <w:highlight w:val="none"/>
        </w:rPr>
        <w:t>项目监理机构和人员</w:t>
      </w:r>
    </w:p>
    <w:p>
      <w:pPr>
        <w:adjustRightInd w:val="0"/>
        <w:snapToGrid w:val="0"/>
        <w:spacing w:line="360" w:lineRule="auto"/>
        <w:ind w:firstLine="640" w:firstLineChars="200"/>
        <w:rPr>
          <w:rFonts w:hint="eastAsia" w:ascii="仿宋_GB2312" w:eastAsia="仿宋_GB2312"/>
          <w:sz w:val="24"/>
          <w:highlight w:val="none"/>
        </w:rPr>
      </w:pPr>
      <w:r>
        <w:rPr>
          <w:rFonts w:hint="eastAsia" w:ascii="仿宋_GB2312" w:eastAsia="仿宋_GB2312"/>
          <w:sz w:val="32"/>
          <w:szCs w:val="32"/>
          <w:highlight w:val="none"/>
        </w:rPr>
        <w:t xml:space="preserve">2.3.4 </w:t>
      </w:r>
      <w:r>
        <w:rPr>
          <w:rFonts w:hint="eastAsia" w:ascii="仿宋_GB2312" w:hAnsi="宋体" w:eastAsia="仿宋_GB2312"/>
          <w:kern w:val="0"/>
          <w:sz w:val="32"/>
          <w:szCs w:val="32"/>
          <w:highlight w:val="none"/>
        </w:rPr>
        <w:t>更换监理人员的其他情形：</w:t>
      </w:r>
      <w:r>
        <w:rPr>
          <w:rFonts w:hint="eastAsia" w:ascii="仿宋_GB2312" w:eastAsia="仿宋_GB2312"/>
          <w:kern w:val="0"/>
          <w:sz w:val="24"/>
          <w:highlight w:val="none"/>
          <w:u w:val="single"/>
        </w:rPr>
        <w:t xml:space="preserve">                      </w:t>
      </w:r>
      <w:r>
        <w:rPr>
          <w:rFonts w:hint="eastAsia" w:ascii="仿宋_GB2312" w:hAnsi="宋体" w:eastAsia="仿宋_GB2312"/>
          <w:kern w:val="0"/>
          <w:sz w:val="24"/>
          <w:highlight w:val="none"/>
        </w:rPr>
        <w:t>。</w:t>
      </w:r>
    </w:p>
    <w:p>
      <w:pPr>
        <w:spacing w:line="360" w:lineRule="auto"/>
        <w:ind w:firstLine="313" w:firstLineChars="98"/>
        <w:rPr>
          <w:rFonts w:hint="eastAsia" w:ascii="仿宋_GB2312" w:eastAsia="仿宋_GB2312"/>
          <w:sz w:val="32"/>
          <w:szCs w:val="32"/>
          <w:highlight w:val="none"/>
        </w:rPr>
      </w:pPr>
      <w:r>
        <w:rPr>
          <w:rFonts w:hint="eastAsia" w:ascii="仿宋_GB2312" w:eastAsia="仿宋_GB2312"/>
          <w:sz w:val="32"/>
          <w:szCs w:val="32"/>
          <w:highlight w:val="none"/>
        </w:rPr>
        <w:t xml:space="preserve">2.4 </w:t>
      </w:r>
      <w:r>
        <w:rPr>
          <w:rFonts w:hint="eastAsia" w:ascii="仿宋_GB2312" w:hAnsi="宋体" w:eastAsia="仿宋_GB2312" w:cs="宋体"/>
          <w:kern w:val="0"/>
          <w:sz w:val="32"/>
          <w:szCs w:val="32"/>
          <w:highlight w:val="none"/>
        </w:rPr>
        <w:t>履行职责</w:t>
      </w:r>
    </w:p>
    <w:p>
      <w:pPr>
        <w:adjustRightInd w:val="0"/>
        <w:snapToGrid w:val="0"/>
        <w:spacing w:line="360" w:lineRule="auto"/>
        <w:ind w:firstLine="640" w:firstLineChars="200"/>
        <w:rPr>
          <w:rFonts w:hint="eastAsia" w:ascii="仿宋_GB2312" w:eastAsia="仿宋_GB2312"/>
          <w:sz w:val="32"/>
          <w:szCs w:val="32"/>
          <w:highlight w:val="none"/>
          <w:u w:val="single"/>
        </w:rPr>
      </w:pPr>
      <w:r>
        <w:rPr>
          <w:rFonts w:hint="eastAsia" w:ascii="仿宋_GB2312" w:eastAsia="仿宋_GB2312"/>
          <w:sz w:val="32"/>
          <w:szCs w:val="32"/>
          <w:highlight w:val="none"/>
        </w:rPr>
        <w:t xml:space="preserve">2.4.3 </w:t>
      </w:r>
      <w:r>
        <w:rPr>
          <w:rFonts w:hint="eastAsia" w:ascii="仿宋_GB2312" w:hAnsi="宋体" w:eastAsia="仿宋_GB2312"/>
          <w:sz w:val="32"/>
          <w:szCs w:val="32"/>
          <w:highlight w:val="none"/>
        </w:rPr>
        <w:t>对监理人的授权范围：</w:t>
      </w:r>
      <w:r>
        <w:rPr>
          <w:rFonts w:hint="eastAsia" w:ascii="仿宋_GB2312" w:eastAsia="仿宋_GB2312"/>
          <w:sz w:val="32"/>
          <w:szCs w:val="32"/>
          <w:highlight w:val="none"/>
          <w:u w:val="single"/>
        </w:rPr>
        <w:t xml:space="preserve">                     </w:t>
      </w:r>
    </w:p>
    <w:p>
      <w:pPr>
        <w:adjustRightInd w:val="0"/>
        <w:snapToGrid w:val="0"/>
        <w:spacing w:line="360" w:lineRule="auto"/>
        <w:rPr>
          <w:rFonts w:hint="eastAsia" w:ascii="仿宋_GB2312" w:hAnsi="宋体" w:eastAsia="仿宋_GB2312"/>
          <w:sz w:val="32"/>
          <w:szCs w:val="32"/>
          <w:highlight w:val="none"/>
        </w:rPr>
      </w:pP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w:t>
      </w:r>
    </w:p>
    <w:p>
      <w:pPr>
        <w:adjustRightInd w:val="0"/>
        <w:snapToGrid w:val="0"/>
        <w:spacing w:line="360" w:lineRule="auto"/>
        <w:ind w:firstLine="640" w:firstLineChars="200"/>
        <w:outlineLvl w:val="0"/>
        <w:rPr>
          <w:rFonts w:hint="eastAsia" w:ascii="仿宋_GB2312" w:hAnsi="宋体" w:eastAsia="仿宋_GB2312"/>
          <w:sz w:val="32"/>
          <w:szCs w:val="32"/>
          <w:highlight w:val="none"/>
        </w:rPr>
      </w:pPr>
      <w:bookmarkStart w:id="346" w:name="_Toc18191"/>
      <w:r>
        <w:rPr>
          <w:rFonts w:hint="eastAsia" w:ascii="仿宋_GB2312" w:hAnsi="宋体" w:eastAsia="仿宋_GB2312"/>
          <w:sz w:val="32"/>
          <w:szCs w:val="32"/>
          <w:highlight w:val="none"/>
        </w:rPr>
        <w:t>在涉及工程延期</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天内和（或）金额</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万元内的变更，监理人不需请示委托人即可向承包人发布变更通知。</w:t>
      </w:r>
      <w:bookmarkEnd w:id="346"/>
    </w:p>
    <w:p>
      <w:pPr>
        <w:adjustRightInd w:val="0"/>
        <w:snapToGrid w:val="0"/>
        <w:spacing w:line="360" w:lineRule="auto"/>
        <w:ind w:firstLine="480" w:firstLineChars="150"/>
        <w:rPr>
          <w:rFonts w:hint="eastAsia" w:ascii="仿宋_GB2312" w:eastAsia="仿宋_GB2312"/>
          <w:sz w:val="32"/>
          <w:szCs w:val="32"/>
          <w:highlight w:val="none"/>
        </w:rPr>
      </w:pPr>
      <w:r>
        <w:rPr>
          <w:rFonts w:hint="eastAsia" w:ascii="仿宋_GB2312" w:hAnsi="宋体" w:eastAsia="仿宋_GB2312"/>
          <w:kern w:val="0"/>
          <w:sz w:val="32"/>
          <w:szCs w:val="32"/>
          <w:highlight w:val="none"/>
        </w:rPr>
        <w:t>2.4.4 监理人有权要求承包人调换其人员</w:t>
      </w:r>
      <w:r>
        <w:rPr>
          <w:rFonts w:hint="eastAsia" w:ascii="仿宋_GB2312" w:hAnsi="宋体" w:eastAsia="仿宋_GB2312"/>
          <w:sz w:val="32"/>
          <w:szCs w:val="32"/>
          <w:highlight w:val="none"/>
        </w:rPr>
        <w:t>的限制条件：</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w:t>
      </w:r>
      <w:r>
        <w:rPr>
          <w:rFonts w:hint="eastAsia" w:ascii="仿宋_GB2312" w:eastAsia="仿宋_GB2312"/>
          <w:sz w:val="24"/>
          <w:highlight w:val="none"/>
        </w:rPr>
        <w:t xml:space="preserve"> </w:t>
      </w:r>
      <w:r>
        <w:rPr>
          <w:rFonts w:hint="eastAsia" w:ascii="仿宋_GB2312" w:eastAsia="仿宋_GB2312"/>
          <w:sz w:val="32"/>
          <w:szCs w:val="32"/>
          <w:highlight w:val="none"/>
        </w:rPr>
        <w:t xml:space="preserve"> </w:t>
      </w:r>
    </w:p>
    <w:p>
      <w:pPr>
        <w:adjustRightInd w:val="0"/>
        <w:snapToGrid w:val="0"/>
        <w:spacing w:line="360" w:lineRule="auto"/>
        <w:ind w:firstLine="160" w:firstLineChars="50"/>
        <w:rPr>
          <w:rFonts w:hint="eastAsia" w:ascii="仿宋_GB2312" w:eastAsia="仿宋_GB2312"/>
          <w:sz w:val="32"/>
          <w:szCs w:val="32"/>
          <w:highlight w:val="none"/>
        </w:rPr>
      </w:pPr>
      <w:r>
        <w:rPr>
          <w:rFonts w:hint="eastAsia" w:ascii="仿宋_GB2312" w:eastAsia="仿宋_GB2312"/>
          <w:kern w:val="0"/>
          <w:sz w:val="32"/>
          <w:szCs w:val="32"/>
          <w:highlight w:val="none"/>
        </w:rPr>
        <w:t xml:space="preserve">2.5 </w:t>
      </w:r>
      <w:r>
        <w:rPr>
          <w:rFonts w:hint="eastAsia" w:ascii="仿宋_GB2312" w:hAnsi="宋体" w:eastAsia="仿宋_GB2312"/>
          <w:sz w:val="32"/>
          <w:szCs w:val="32"/>
          <w:highlight w:val="none"/>
        </w:rPr>
        <w:t>提交</w:t>
      </w:r>
      <w:r>
        <w:rPr>
          <w:rFonts w:hint="eastAsia" w:ascii="仿宋_GB2312" w:hAnsi="宋体" w:eastAsia="仿宋_GB2312" w:cs="宋体"/>
          <w:kern w:val="0"/>
          <w:sz w:val="32"/>
          <w:szCs w:val="32"/>
          <w:highlight w:val="none"/>
        </w:rPr>
        <w:t>报告</w:t>
      </w:r>
    </w:p>
    <w:p>
      <w:pPr>
        <w:adjustRightInd w:val="0"/>
        <w:snapToGrid w:val="0"/>
        <w:spacing w:line="360" w:lineRule="auto"/>
        <w:ind w:firstLine="525"/>
        <w:rPr>
          <w:rFonts w:hint="eastAsia" w:ascii="仿宋_GB2312" w:hAnsi="宋体" w:eastAsia="仿宋_GB2312"/>
          <w:sz w:val="24"/>
          <w:highlight w:val="none"/>
          <w:u w:val="single"/>
        </w:rPr>
      </w:pPr>
      <w:r>
        <w:rPr>
          <w:rFonts w:hint="eastAsia" w:ascii="仿宋_GB2312" w:hAnsi="宋体" w:eastAsia="仿宋_GB2312"/>
          <w:sz w:val="32"/>
          <w:szCs w:val="32"/>
          <w:highlight w:val="none"/>
        </w:rPr>
        <w:t>监理人应提交报告的种类(</w:t>
      </w:r>
      <w:r>
        <w:rPr>
          <w:rFonts w:hint="eastAsia" w:ascii="仿宋_GB2312" w:hAnsi="宋体" w:eastAsia="仿宋_GB2312" w:cs="宋体"/>
          <w:kern w:val="0"/>
          <w:sz w:val="32"/>
          <w:szCs w:val="32"/>
          <w:highlight w:val="none"/>
        </w:rPr>
        <w:t>包括监理规划、监理月报及约定的专项报告)</w:t>
      </w:r>
      <w:r>
        <w:rPr>
          <w:rFonts w:hint="eastAsia" w:ascii="仿宋_GB2312" w:hAnsi="宋体" w:eastAsia="仿宋_GB2312"/>
          <w:sz w:val="32"/>
          <w:szCs w:val="32"/>
          <w:highlight w:val="none"/>
        </w:rPr>
        <w:t>、时间和份数</w:t>
      </w:r>
      <w:r>
        <w:rPr>
          <w:rFonts w:hint="eastAsia" w:ascii="仿宋_GB2312" w:hAnsi="宋体" w:eastAsia="仿宋_GB2312" w:cs="宋体"/>
          <w:kern w:val="0"/>
          <w:sz w:val="32"/>
          <w:szCs w:val="32"/>
          <w:highlight w:val="none"/>
        </w:rPr>
        <w:t>：</w:t>
      </w:r>
      <w:r>
        <w:rPr>
          <w:rFonts w:hint="eastAsia" w:ascii="仿宋_GB2312" w:hAnsi="宋体" w:eastAsia="仿宋_GB2312"/>
          <w:sz w:val="24"/>
          <w:highlight w:val="none"/>
          <w:u w:val="single"/>
        </w:rPr>
        <w:t xml:space="preserve">                                 </w:t>
      </w:r>
    </w:p>
    <w:p>
      <w:pPr>
        <w:adjustRightInd w:val="0"/>
        <w:snapToGrid w:val="0"/>
        <w:spacing w:line="360" w:lineRule="auto"/>
        <w:rPr>
          <w:rFonts w:hint="eastAsia" w:ascii="仿宋_GB2312" w:hAnsi="宋体" w:eastAsia="仿宋_GB2312"/>
          <w:sz w:val="24"/>
          <w:highlight w:val="none"/>
          <w:u w:val="single"/>
        </w:rPr>
      </w:pPr>
      <w:r>
        <w:rPr>
          <w:rFonts w:hint="eastAsia" w:ascii="仿宋_GB2312" w:hAnsi="宋体" w:eastAsia="仿宋_GB2312"/>
          <w:sz w:val="24"/>
          <w:highlight w:val="none"/>
          <w:u w:val="single"/>
        </w:rPr>
        <w:t xml:space="preserve">                                                                     </w:t>
      </w:r>
    </w:p>
    <w:p>
      <w:pPr>
        <w:adjustRightInd w:val="0"/>
        <w:snapToGrid w:val="0"/>
        <w:spacing w:line="360" w:lineRule="auto"/>
        <w:rPr>
          <w:rFonts w:hint="eastAsia" w:ascii="仿宋_GB2312" w:hAnsi="宋体" w:eastAsia="仿宋_GB2312"/>
          <w:sz w:val="32"/>
          <w:szCs w:val="32"/>
          <w:highlight w:val="none"/>
          <w:u w:val="single"/>
        </w:rPr>
      </w:pP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w:t>
      </w:r>
    </w:p>
    <w:p>
      <w:pPr>
        <w:spacing w:line="360" w:lineRule="auto"/>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 2.7 </w:t>
      </w:r>
      <w:r>
        <w:rPr>
          <w:rFonts w:hint="eastAsia" w:ascii="仿宋_GB2312" w:hAnsi="宋体" w:eastAsia="仿宋_GB2312" w:cs="宋体"/>
          <w:kern w:val="0"/>
          <w:sz w:val="32"/>
          <w:szCs w:val="32"/>
          <w:highlight w:val="none"/>
        </w:rPr>
        <w:t>使用委托人的财产</w:t>
      </w:r>
    </w:p>
    <w:p>
      <w:pPr>
        <w:spacing w:line="360" w:lineRule="auto"/>
        <w:rPr>
          <w:rFonts w:hint="eastAsia" w:ascii="仿宋_GB2312" w:eastAsia="仿宋_GB2312"/>
          <w:kern w:val="0"/>
          <w:sz w:val="32"/>
          <w:szCs w:val="32"/>
          <w:highlight w:val="none"/>
        </w:rPr>
      </w:pPr>
      <w:r>
        <w:rPr>
          <w:rFonts w:hint="eastAsia" w:ascii="仿宋_GB2312" w:hAnsi="宋体" w:eastAsia="仿宋_GB2312" w:cs="宋体"/>
          <w:kern w:val="0"/>
          <w:sz w:val="24"/>
          <w:highlight w:val="none"/>
        </w:rPr>
        <w:t xml:space="preserve">  </w:t>
      </w:r>
      <w:r>
        <w:rPr>
          <w:rFonts w:hint="eastAsia" w:ascii="仿宋_GB2312" w:eastAsia="仿宋_GB2312"/>
          <w:kern w:val="0"/>
          <w:sz w:val="24"/>
          <w:highlight w:val="none"/>
        </w:rPr>
        <w:t xml:space="preserve">   </w:t>
      </w:r>
      <w:r>
        <w:rPr>
          <w:rFonts w:hint="eastAsia" w:ascii="仿宋_GB2312" w:hAnsi="宋体" w:eastAsia="仿宋_GB2312"/>
          <w:sz w:val="32"/>
          <w:szCs w:val="32"/>
          <w:highlight w:val="none"/>
        </w:rPr>
        <w:t>附录</w:t>
      </w:r>
      <w:r>
        <w:rPr>
          <w:rFonts w:hint="eastAsia" w:ascii="仿宋_GB2312" w:eastAsia="仿宋_GB2312"/>
          <w:sz w:val="32"/>
          <w:szCs w:val="32"/>
          <w:highlight w:val="none"/>
        </w:rPr>
        <w:t>B</w:t>
      </w:r>
      <w:r>
        <w:rPr>
          <w:rFonts w:hint="eastAsia" w:ascii="仿宋_GB2312" w:hAnsi="宋体" w:eastAsia="仿宋_GB2312"/>
          <w:sz w:val="32"/>
          <w:szCs w:val="32"/>
          <w:highlight w:val="none"/>
        </w:rPr>
        <w:t>中由委托人无偿提供的房屋、设备的所有权属于：</w:t>
      </w:r>
      <w:r>
        <w:rPr>
          <w:rFonts w:hint="eastAsia" w:ascii="仿宋_GB2312" w:hAnsi="宋体" w:eastAsia="仿宋_GB2312"/>
          <w:sz w:val="32"/>
          <w:szCs w:val="32"/>
          <w:highlight w:val="none"/>
          <w:u w:val="single"/>
        </w:rPr>
        <w:t xml:space="preserve">  </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w:t>
      </w:r>
    </w:p>
    <w:p>
      <w:pPr>
        <w:spacing w:line="360" w:lineRule="auto"/>
        <w:ind w:firstLine="640" w:firstLineChars="200"/>
        <w:rPr>
          <w:rFonts w:hint="eastAsia" w:ascii="仿宋_GB2312" w:eastAsia="仿宋_GB2312"/>
          <w:kern w:val="0"/>
          <w:sz w:val="24"/>
          <w:highlight w:val="none"/>
        </w:rPr>
      </w:pPr>
      <w:r>
        <w:rPr>
          <w:rFonts w:hint="eastAsia" w:ascii="仿宋_GB2312" w:hAnsi="宋体" w:eastAsia="仿宋_GB2312"/>
          <w:sz w:val="32"/>
          <w:szCs w:val="32"/>
          <w:highlight w:val="none"/>
        </w:rPr>
        <w:t>监理人应在本合同终止后</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天内移交委托人无偿提供的房屋、设备，移交的时间和方式为：</w:t>
      </w:r>
      <w:r>
        <w:rPr>
          <w:rFonts w:hint="eastAsia" w:ascii="仿宋_GB2312" w:hAnsi="宋体" w:eastAsia="仿宋_GB2312"/>
          <w:sz w:val="24"/>
          <w:highlight w:val="none"/>
          <w:u w:val="single"/>
        </w:rPr>
        <w:t xml:space="preserve">      </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w:t>
      </w:r>
    </w:p>
    <w:p>
      <w:pPr>
        <w:adjustRightInd w:val="0"/>
        <w:snapToGrid w:val="0"/>
        <w:spacing w:line="360" w:lineRule="auto"/>
        <w:rPr>
          <w:rFonts w:hint="eastAsia" w:ascii="仿宋_GB2312" w:hAnsi="黑体" w:eastAsia="仿宋_GB2312"/>
          <w:b/>
          <w:sz w:val="32"/>
          <w:szCs w:val="32"/>
          <w:highlight w:val="none"/>
        </w:rPr>
      </w:pPr>
      <w:r>
        <w:rPr>
          <w:rFonts w:hint="eastAsia" w:ascii="仿宋_GB2312" w:hAnsi="黑体" w:eastAsia="仿宋_GB2312"/>
          <w:b/>
          <w:kern w:val="0"/>
          <w:sz w:val="32"/>
          <w:szCs w:val="32"/>
          <w:highlight w:val="none"/>
        </w:rPr>
        <w:t xml:space="preserve">3. 委托人义务  </w:t>
      </w:r>
    </w:p>
    <w:p>
      <w:pPr>
        <w:snapToGrid w:val="0"/>
        <w:spacing w:line="360" w:lineRule="auto"/>
        <w:rPr>
          <w:rFonts w:hint="eastAsia" w:ascii="仿宋_GB2312" w:eastAsia="仿宋_GB2312"/>
          <w:sz w:val="32"/>
          <w:szCs w:val="32"/>
          <w:highlight w:val="none"/>
        </w:rPr>
      </w:pPr>
      <w:r>
        <w:rPr>
          <w:rFonts w:hint="eastAsia" w:ascii="仿宋_GB2312" w:eastAsia="仿宋_GB2312"/>
          <w:sz w:val="24"/>
          <w:highlight w:val="none"/>
        </w:rPr>
        <w:t xml:space="preserve">  </w:t>
      </w:r>
      <w:r>
        <w:rPr>
          <w:rFonts w:hint="eastAsia" w:ascii="仿宋_GB2312" w:eastAsia="仿宋_GB2312"/>
          <w:kern w:val="0"/>
          <w:sz w:val="32"/>
          <w:szCs w:val="32"/>
          <w:highlight w:val="none"/>
        </w:rPr>
        <w:t xml:space="preserve">3.4 </w:t>
      </w:r>
      <w:r>
        <w:rPr>
          <w:rFonts w:hint="eastAsia" w:ascii="仿宋_GB2312" w:hAnsi="宋体" w:eastAsia="仿宋_GB2312" w:cs="宋体"/>
          <w:kern w:val="0"/>
          <w:sz w:val="32"/>
          <w:szCs w:val="32"/>
          <w:highlight w:val="none"/>
        </w:rPr>
        <w:t>委托人代表</w:t>
      </w:r>
    </w:p>
    <w:p>
      <w:pPr>
        <w:adjustRightInd w:val="0"/>
        <w:snapToGrid w:val="0"/>
        <w:spacing w:line="360" w:lineRule="auto"/>
        <w:ind w:firstLine="640" w:firstLineChars="200"/>
        <w:rPr>
          <w:rFonts w:hint="eastAsia" w:ascii="仿宋_GB2312" w:eastAsia="仿宋_GB2312"/>
          <w:sz w:val="24"/>
          <w:highlight w:val="none"/>
          <w:u w:val="single"/>
        </w:rPr>
      </w:pPr>
      <w:r>
        <w:rPr>
          <w:rFonts w:hint="eastAsia" w:ascii="仿宋_GB2312" w:hAnsi="宋体" w:eastAsia="仿宋_GB2312"/>
          <w:sz w:val="32"/>
          <w:szCs w:val="32"/>
          <w:highlight w:val="none"/>
        </w:rPr>
        <w:t>委托人代表为：</w:t>
      </w:r>
      <w:r>
        <w:rPr>
          <w:rFonts w:hint="eastAsia" w:ascii="仿宋_GB2312" w:eastAsia="仿宋_GB2312"/>
          <w:sz w:val="32"/>
          <w:szCs w:val="32"/>
          <w:highlight w:val="none"/>
          <w:u w:val="single"/>
        </w:rPr>
        <w:t xml:space="preserve">        </w:t>
      </w:r>
      <w:r>
        <w:rPr>
          <w:rFonts w:hint="eastAsia" w:ascii="仿宋_GB2312" w:eastAsia="仿宋_GB2312"/>
          <w:sz w:val="24"/>
          <w:highlight w:val="none"/>
          <w:u w:val="single"/>
        </w:rPr>
        <w:t xml:space="preserve">                                </w:t>
      </w:r>
      <w:r>
        <w:rPr>
          <w:rFonts w:hint="eastAsia" w:ascii="仿宋_GB2312" w:hAnsi="宋体" w:eastAsia="仿宋_GB2312"/>
          <w:sz w:val="24"/>
          <w:highlight w:val="none"/>
        </w:rPr>
        <w:t>。</w:t>
      </w:r>
    </w:p>
    <w:p>
      <w:pPr>
        <w:adjustRightInd w:val="0"/>
        <w:snapToGrid w:val="0"/>
        <w:spacing w:line="360" w:lineRule="auto"/>
        <w:ind w:firstLine="313" w:firstLineChars="98"/>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3.6 </w:t>
      </w:r>
      <w:r>
        <w:rPr>
          <w:rFonts w:hint="eastAsia" w:ascii="仿宋_GB2312" w:hAnsi="宋体" w:eastAsia="仿宋_GB2312" w:cs="宋体"/>
          <w:kern w:val="0"/>
          <w:sz w:val="32"/>
          <w:szCs w:val="32"/>
          <w:highlight w:val="none"/>
        </w:rPr>
        <w:t>答复</w:t>
      </w:r>
    </w:p>
    <w:p>
      <w:pPr>
        <w:adjustRightInd w:val="0"/>
        <w:snapToGrid w:val="0"/>
        <w:spacing w:line="360" w:lineRule="auto"/>
        <w:ind w:firstLine="640" w:firstLineChars="200"/>
        <w:rPr>
          <w:rFonts w:hint="eastAsia" w:ascii="仿宋_GB2312" w:eastAsia="仿宋_GB2312"/>
          <w:sz w:val="24"/>
          <w:highlight w:val="none"/>
        </w:rPr>
      </w:pPr>
      <w:r>
        <w:rPr>
          <w:rFonts w:hint="eastAsia" w:ascii="仿宋_GB2312" w:hAnsi="宋体" w:eastAsia="仿宋_GB2312"/>
          <w:sz w:val="32"/>
          <w:szCs w:val="32"/>
          <w:highlight w:val="none"/>
        </w:rPr>
        <w:t>委托人同意在</w:t>
      </w: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天内，对监理人书面提交并要求做出决定的事宜给予书面答复。</w:t>
      </w:r>
    </w:p>
    <w:p>
      <w:pPr>
        <w:snapToGrid w:val="0"/>
        <w:spacing w:line="360" w:lineRule="auto"/>
        <w:rPr>
          <w:rFonts w:hint="eastAsia" w:ascii="仿宋_GB2312" w:hAnsi="黑体" w:eastAsia="仿宋_GB2312"/>
          <w:b/>
          <w:bCs/>
          <w:sz w:val="32"/>
          <w:szCs w:val="32"/>
          <w:highlight w:val="none"/>
        </w:rPr>
      </w:pPr>
      <w:r>
        <w:rPr>
          <w:rFonts w:hint="eastAsia" w:ascii="仿宋_GB2312" w:hAnsi="黑体" w:eastAsia="仿宋_GB2312"/>
          <w:b/>
          <w:bCs/>
          <w:sz w:val="32"/>
          <w:szCs w:val="32"/>
          <w:highlight w:val="none"/>
        </w:rPr>
        <w:t>4. 违约责任</w:t>
      </w:r>
    </w:p>
    <w:p>
      <w:pPr>
        <w:spacing w:line="360" w:lineRule="auto"/>
        <w:ind w:left="210" w:left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 xml:space="preserve">4.1 </w:t>
      </w:r>
      <w:r>
        <w:rPr>
          <w:rFonts w:hint="eastAsia" w:ascii="仿宋_GB2312" w:hAnsi="宋体" w:eastAsia="仿宋_GB2312" w:cs="宋体"/>
          <w:kern w:val="0"/>
          <w:sz w:val="32"/>
          <w:szCs w:val="32"/>
          <w:highlight w:val="none"/>
        </w:rPr>
        <w:t>监理人的违约责任</w:t>
      </w:r>
    </w:p>
    <w:p>
      <w:pPr>
        <w:adjustRightInd w:val="0"/>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eastAsia="仿宋_GB2312"/>
          <w:kern w:val="0"/>
          <w:sz w:val="32"/>
          <w:szCs w:val="32"/>
          <w:highlight w:val="none"/>
        </w:rPr>
        <w:t>4.1.1</w:t>
      </w:r>
      <w:r>
        <w:rPr>
          <w:rFonts w:hint="eastAsia" w:ascii="仿宋_GB2312" w:hAnsi="宋体" w:eastAsia="仿宋_GB2312"/>
          <w:kern w:val="0"/>
          <w:sz w:val="32"/>
          <w:szCs w:val="32"/>
          <w:highlight w:val="none"/>
        </w:rPr>
        <w:t>监理人赔偿金额按下列方法确定：</w:t>
      </w:r>
    </w:p>
    <w:p>
      <w:pPr>
        <w:adjustRightInd w:val="0"/>
        <w:snapToGrid w:val="0"/>
        <w:spacing w:line="360" w:lineRule="auto"/>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sz w:val="32"/>
          <w:szCs w:val="32"/>
          <w:highlight w:val="none"/>
        </w:rPr>
        <w:t>赔偿金＝直接经济损失×正常工作酬金÷工程概算</w:t>
      </w:r>
      <w:r>
        <w:rPr>
          <w:rFonts w:hint="eastAsia" w:ascii="仿宋_GB2312" w:hAnsi="宋体" w:eastAsia="仿宋_GB2312" w:cs="宋体"/>
          <w:kern w:val="0"/>
          <w:sz w:val="32"/>
          <w:szCs w:val="32"/>
          <w:highlight w:val="none"/>
        </w:rPr>
        <w:t>投资额（或建筑安装工程费）</w:t>
      </w:r>
    </w:p>
    <w:p>
      <w:pPr>
        <w:snapToGrid w:val="0"/>
        <w:spacing w:line="360" w:lineRule="auto"/>
        <w:ind w:firstLine="320" w:firstLineChars="1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4.2 委</w:t>
      </w:r>
      <w:r>
        <w:rPr>
          <w:rFonts w:hint="eastAsia" w:ascii="仿宋_GB2312" w:hAnsi="宋体" w:eastAsia="仿宋_GB2312" w:cs="宋体"/>
          <w:kern w:val="0"/>
          <w:sz w:val="32"/>
          <w:szCs w:val="32"/>
          <w:highlight w:val="none"/>
        </w:rPr>
        <w:t>托人的违约责任</w:t>
      </w:r>
    </w:p>
    <w:p>
      <w:pPr>
        <w:spacing w:line="360" w:lineRule="auto"/>
        <w:ind w:firstLine="640" w:firstLineChars="200"/>
        <w:rPr>
          <w:rFonts w:hint="eastAsia" w:ascii="仿宋_GB2312" w:hAnsi="宋体" w:eastAsia="仿宋_GB2312"/>
          <w:kern w:val="0"/>
          <w:sz w:val="32"/>
          <w:szCs w:val="32"/>
          <w:highlight w:val="none"/>
        </w:rPr>
      </w:pPr>
      <w:r>
        <w:rPr>
          <w:rFonts w:hint="eastAsia" w:ascii="仿宋_GB2312" w:eastAsia="仿宋_GB2312"/>
          <w:sz w:val="32"/>
          <w:szCs w:val="32"/>
          <w:highlight w:val="none"/>
        </w:rPr>
        <w:t>4.2.3 委托人</w:t>
      </w:r>
      <w:r>
        <w:rPr>
          <w:rFonts w:hint="eastAsia" w:ascii="仿宋_GB2312" w:hAnsi="宋体" w:eastAsia="仿宋_GB2312"/>
          <w:kern w:val="0"/>
          <w:sz w:val="32"/>
          <w:szCs w:val="32"/>
          <w:highlight w:val="none"/>
        </w:rPr>
        <w:t>逾期付款利息按下列方法确定：</w:t>
      </w:r>
    </w:p>
    <w:p>
      <w:pPr>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逾期付款利息＝当期应付款总额</w:t>
      </w:r>
      <w:r>
        <w:rPr>
          <w:rFonts w:hint="eastAsia" w:ascii="仿宋_GB2312" w:eastAsia="仿宋_GB2312"/>
          <w:sz w:val="32"/>
          <w:szCs w:val="32"/>
          <w:highlight w:val="none"/>
        </w:rPr>
        <w:t>×</w:t>
      </w:r>
      <w:r>
        <w:rPr>
          <w:rFonts w:hint="eastAsia" w:ascii="仿宋_GB2312" w:hAnsi="宋体" w:eastAsia="仿宋_GB2312"/>
          <w:sz w:val="32"/>
          <w:szCs w:val="32"/>
          <w:highlight w:val="none"/>
        </w:rPr>
        <w:t>银行同期贷款利率</w:t>
      </w:r>
      <w:r>
        <w:rPr>
          <w:rFonts w:hint="eastAsia" w:ascii="仿宋_GB2312" w:eastAsia="仿宋_GB2312"/>
          <w:sz w:val="32"/>
          <w:szCs w:val="32"/>
          <w:highlight w:val="none"/>
        </w:rPr>
        <w:t>×</w:t>
      </w:r>
      <w:r>
        <w:rPr>
          <w:rFonts w:hint="eastAsia" w:ascii="仿宋_GB2312" w:hAnsi="宋体" w:eastAsia="仿宋_GB2312"/>
          <w:sz w:val="32"/>
          <w:szCs w:val="32"/>
          <w:highlight w:val="none"/>
        </w:rPr>
        <w:t>拖延支付天数</w:t>
      </w:r>
    </w:p>
    <w:p>
      <w:pPr>
        <w:snapToGrid w:val="0"/>
        <w:spacing w:line="360" w:lineRule="auto"/>
        <w:rPr>
          <w:rFonts w:hint="eastAsia" w:ascii="仿宋_GB2312" w:hAnsi="黑体" w:eastAsia="仿宋_GB2312"/>
          <w:b/>
          <w:sz w:val="32"/>
          <w:szCs w:val="32"/>
          <w:highlight w:val="none"/>
        </w:rPr>
      </w:pPr>
      <w:r>
        <w:rPr>
          <w:rFonts w:hint="eastAsia" w:ascii="仿宋_GB2312" w:hAnsi="黑体" w:eastAsia="仿宋_GB2312"/>
          <w:b/>
          <w:bCs/>
          <w:sz w:val="32"/>
          <w:szCs w:val="32"/>
          <w:highlight w:val="none"/>
        </w:rPr>
        <w:t>5. 支付</w:t>
      </w:r>
    </w:p>
    <w:p>
      <w:pPr>
        <w:snapToGrid w:val="0"/>
        <w:spacing w:line="360" w:lineRule="auto"/>
        <w:rPr>
          <w:rFonts w:hint="eastAsia" w:ascii="仿宋_GB2312" w:hAnsi="宋体" w:eastAsia="仿宋_GB2312"/>
          <w:bCs/>
          <w:sz w:val="32"/>
          <w:szCs w:val="32"/>
          <w:highlight w:val="none"/>
        </w:rPr>
      </w:pPr>
      <w:r>
        <w:rPr>
          <w:rFonts w:hint="eastAsia" w:ascii="仿宋_GB2312" w:eastAsia="仿宋_GB2312"/>
          <w:sz w:val="24"/>
          <w:highlight w:val="none"/>
        </w:rPr>
        <w:t xml:space="preserve"> </w:t>
      </w:r>
      <w:r>
        <w:rPr>
          <w:rFonts w:hint="eastAsia" w:ascii="仿宋_GB2312" w:eastAsia="仿宋_GB2312"/>
          <w:sz w:val="32"/>
          <w:szCs w:val="32"/>
          <w:highlight w:val="none"/>
        </w:rPr>
        <w:t xml:space="preserve"> 5.1 </w:t>
      </w:r>
      <w:r>
        <w:rPr>
          <w:rFonts w:hint="eastAsia" w:ascii="仿宋_GB2312" w:hAnsi="宋体" w:eastAsia="仿宋_GB2312"/>
          <w:bCs/>
          <w:sz w:val="32"/>
          <w:szCs w:val="32"/>
          <w:highlight w:val="none"/>
        </w:rPr>
        <w:t>支付货币</w:t>
      </w:r>
    </w:p>
    <w:p>
      <w:pPr>
        <w:snapToGrid w:val="0"/>
        <w:spacing w:line="360" w:lineRule="auto"/>
        <w:ind w:firstLine="640" w:firstLineChars="200"/>
        <w:rPr>
          <w:rFonts w:hint="eastAsia" w:ascii="仿宋_GB2312" w:hAnsi="宋体" w:eastAsia="仿宋_GB2312"/>
          <w:sz w:val="24"/>
          <w:highlight w:val="none"/>
        </w:rPr>
      </w:pPr>
      <w:r>
        <w:rPr>
          <w:rFonts w:hint="eastAsia" w:ascii="仿宋_GB2312" w:hAnsi="宋体" w:eastAsia="仿宋_GB2312"/>
          <w:sz w:val="32"/>
          <w:szCs w:val="32"/>
          <w:highlight w:val="none"/>
        </w:rPr>
        <w:t>币种为：</w:t>
      </w: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，比例为：</w:t>
      </w: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，汇率为：</w:t>
      </w: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w:t>
      </w:r>
      <w:r>
        <w:rPr>
          <w:rFonts w:hint="eastAsia" w:ascii="仿宋_GB2312" w:hAnsi="宋体" w:eastAsia="仿宋_GB2312"/>
          <w:sz w:val="24"/>
          <w:highlight w:val="none"/>
        </w:rPr>
        <w:t xml:space="preserve"> </w:t>
      </w:r>
    </w:p>
    <w:p>
      <w:pPr>
        <w:snapToGrid w:val="0"/>
        <w:spacing w:line="360" w:lineRule="auto"/>
        <w:ind w:firstLine="320" w:firstLineChars="100"/>
        <w:rPr>
          <w:rFonts w:hint="eastAsia" w:ascii="仿宋_GB2312" w:eastAsia="仿宋_GB2312"/>
          <w:kern w:val="0"/>
          <w:sz w:val="32"/>
          <w:szCs w:val="32"/>
          <w:highlight w:val="none"/>
        </w:rPr>
      </w:pPr>
      <w:r>
        <w:rPr>
          <w:rFonts w:hint="eastAsia" w:ascii="仿宋_GB2312" w:eastAsia="仿宋_GB2312"/>
          <w:kern w:val="0"/>
          <w:sz w:val="32"/>
          <w:szCs w:val="32"/>
          <w:highlight w:val="none"/>
        </w:rPr>
        <w:t>5.3 支付酬金</w:t>
      </w:r>
    </w:p>
    <w:p>
      <w:pPr>
        <w:snapToGrid w:val="0"/>
        <w:spacing w:line="360" w:lineRule="auto"/>
        <w:ind w:firstLine="640" w:firstLineChars="200"/>
        <w:rPr>
          <w:rFonts w:hint="eastAsia" w:ascii="仿宋_GB2312" w:hAnsi="宋体" w:eastAsia="仿宋_GB2312" w:cs="宋体"/>
          <w:kern w:val="0"/>
          <w:sz w:val="32"/>
          <w:szCs w:val="32"/>
          <w:highlight w:val="none"/>
        </w:rPr>
      </w:pPr>
      <w:r>
        <w:rPr>
          <w:rFonts w:hint="eastAsia" w:ascii="仿宋_GB2312" w:eastAsia="仿宋_GB2312"/>
          <w:kern w:val="0"/>
          <w:sz w:val="32"/>
          <w:szCs w:val="32"/>
          <w:highlight w:val="none"/>
        </w:rPr>
        <w:t>正常工作</w:t>
      </w:r>
      <w:r>
        <w:rPr>
          <w:rFonts w:hint="eastAsia" w:ascii="仿宋_GB2312" w:hAnsi="宋体" w:eastAsia="仿宋_GB2312"/>
          <w:sz w:val="32"/>
          <w:szCs w:val="32"/>
          <w:highlight w:val="none"/>
        </w:rPr>
        <w:t>酬金的</w:t>
      </w:r>
      <w:r>
        <w:rPr>
          <w:rFonts w:hint="eastAsia" w:ascii="仿宋_GB2312" w:hAnsi="宋体" w:eastAsia="仿宋_GB2312" w:cs="宋体"/>
          <w:kern w:val="0"/>
          <w:sz w:val="32"/>
          <w:szCs w:val="32"/>
          <w:highlight w:val="none"/>
        </w:rPr>
        <w:t>支付</w:t>
      </w:r>
      <w:r>
        <w:rPr>
          <w:rFonts w:hint="eastAsia" w:ascii="仿宋_GB2312" w:hAnsi="宋体" w:eastAsia="仿宋_GB2312"/>
          <w:sz w:val="32"/>
          <w:szCs w:val="32"/>
          <w:highlight w:val="none"/>
        </w:rPr>
        <w:t>：</w:t>
      </w:r>
    </w:p>
    <w:tbl>
      <w:tblPr>
        <w:tblStyle w:val="3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27"/>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9" w:type="dxa"/>
            <w:noWrap w:val="0"/>
            <w:vAlign w:val="center"/>
          </w:tcPr>
          <w:p>
            <w:pPr>
              <w:spacing w:line="360" w:lineRule="auto"/>
              <w:jc w:val="center"/>
              <w:rPr>
                <w:rFonts w:hint="eastAsia" w:ascii="仿宋_GB2312" w:hAnsi="宋体" w:eastAsia="仿宋_GB2312"/>
                <w:sz w:val="32"/>
                <w:szCs w:val="32"/>
                <w:highlight w:val="none"/>
              </w:rPr>
            </w:pPr>
            <w:r>
              <w:rPr>
                <w:rFonts w:hint="eastAsia" w:ascii="仿宋_GB2312" w:hAnsi="宋体" w:eastAsia="仿宋_GB2312"/>
                <w:sz w:val="32"/>
                <w:szCs w:val="32"/>
                <w:highlight w:val="none"/>
              </w:rPr>
              <w:t>支付次数</w:t>
            </w:r>
          </w:p>
        </w:tc>
        <w:tc>
          <w:tcPr>
            <w:tcW w:w="2127" w:type="dxa"/>
            <w:noWrap w:val="0"/>
            <w:vAlign w:val="center"/>
          </w:tcPr>
          <w:p>
            <w:pPr>
              <w:spacing w:line="360" w:lineRule="auto"/>
              <w:jc w:val="center"/>
              <w:rPr>
                <w:rFonts w:hint="eastAsia" w:ascii="仿宋_GB2312" w:hAnsi="宋体" w:eastAsia="仿宋_GB2312"/>
                <w:sz w:val="32"/>
                <w:szCs w:val="32"/>
                <w:highlight w:val="none"/>
              </w:rPr>
            </w:pPr>
            <w:r>
              <w:rPr>
                <w:rFonts w:hint="eastAsia" w:ascii="仿宋_GB2312" w:hAnsi="宋体" w:eastAsia="仿宋_GB2312"/>
                <w:sz w:val="32"/>
                <w:szCs w:val="32"/>
                <w:highlight w:val="none"/>
              </w:rPr>
              <w:t>支付时间</w:t>
            </w:r>
          </w:p>
        </w:tc>
        <w:tc>
          <w:tcPr>
            <w:tcW w:w="1559" w:type="dxa"/>
            <w:noWrap w:val="0"/>
            <w:vAlign w:val="top"/>
          </w:tcPr>
          <w:p>
            <w:pPr>
              <w:spacing w:line="360" w:lineRule="auto"/>
              <w:jc w:val="center"/>
              <w:rPr>
                <w:rFonts w:hint="eastAsia" w:ascii="仿宋_GB2312" w:hAnsi="宋体" w:eastAsia="仿宋_GB2312"/>
                <w:sz w:val="32"/>
                <w:szCs w:val="32"/>
                <w:highlight w:val="none"/>
              </w:rPr>
            </w:pPr>
            <w:r>
              <w:rPr>
                <w:rFonts w:hint="eastAsia" w:ascii="仿宋_GB2312" w:hAnsi="宋体" w:eastAsia="仿宋_GB2312"/>
                <w:sz w:val="32"/>
                <w:szCs w:val="32"/>
                <w:highlight w:val="none"/>
              </w:rPr>
              <w:t>支付比例</w:t>
            </w:r>
          </w:p>
        </w:tc>
        <w:tc>
          <w:tcPr>
            <w:tcW w:w="2835" w:type="dxa"/>
            <w:noWrap w:val="0"/>
            <w:vAlign w:val="center"/>
          </w:tcPr>
          <w:p>
            <w:pPr>
              <w:spacing w:line="360" w:lineRule="auto"/>
              <w:jc w:val="center"/>
              <w:rPr>
                <w:rFonts w:hint="eastAsia" w:ascii="仿宋_GB2312" w:hAnsi="宋体" w:eastAsia="仿宋_GB2312"/>
                <w:sz w:val="32"/>
                <w:szCs w:val="32"/>
                <w:highlight w:val="none"/>
              </w:rPr>
            </w:pPr>
            <w:r>
              <w:rPr>
                <w:rFonts w:hint="eastAsia" w:ascii="仿宋_GB2312" w:hAnsi="宋体" w:eastAsia="仿宋_GB2312"/>
                <w:sz w:val="32"/>
                <w:szCs w:val="32"/>
                <w:highlight w:val="none"/>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9" w:type="dxa"/>
            <w:noWrap w:val="0"/>
            <w:vAlign w:val="top"/>
          </w:tcPr>
          <w:p>
            <w:pPr>
              <w:spacing w:line="360" w:lineRule="auto"/>
              <w:rPr>
                <w:rFonts w:hint="eastAsia" w:ascii="仿宋_GB2312" w:hAnsi="宋体" w:eastAsia="仿宋_GB2312"/>
                <w:sz w:val="32"/>
                <w:szCs w:val="32"/>
                <w:highlight w:val="none"/>
              </w:rPr>
            </w:pPr>
            <w:r>
              <w:rPr>
                <w:rFonts w:hint="eastAsia" w:ascii="仿宋_GB2312" w:hAnsi="宋体" w:eastAsia="仿宋_GB2312"/>
                <w:sz w:val="32"/>
                <w:szCs w:val="32"/>
                <w:highlight w:val="none"/>
              </w:rPr>
              <w:t>首付款</w:t>
            </w:r>
          </w:p>
        </w:tc>
        <w:tc>
          <w:tcPr>
            <w:tcW w:w="2127" w:type="dxa"/>
            <w:noWrap w:val="0"/>
            <w:vAlign w:val="top"/>
          </w:tcPr>
          <w:p>
            <w:pPr>
              <w:spacing w:line="360" w:lineRule="auto"/>
              <w:jc w:val="center"/>
              <w:rPr>
                <w:rFonts w:hint="eastAsia" w:ascii="仿宋_GB2312" w:eastAsia="仿宋_GB2312"/>
                <w:sz w:val="32"/>
                <w:szCs w:val="32"/>
                <w:highlight w:val="none"/>
              </w:rPr>
            </w:pPr>
            <w:r>
              <w:rPr>
                <w:rFonts w:hint="eastAsia" w:ascii="仿宋_GB2312" w:hAnsi="宋体" w:eastAsia="仿宋_GB2312"/>
                <w:sz w:val="32"/>
                <w:szCs w:val="32"/>
                <w:highlight w:val="none"/>
              </w:rPr>
              <w:t>本合同签订后</w:t>
            </w:r>
            <w:r>
              <w:rPr>
                <w:rFonts w:hint="eastAsia" w:ascii="仿宋_GB2312" w:eastAsia="仿宋_GB2312"/>
                <w:sz w:val="32"/>
                <w:szCs w:val="32"/>
                <w:highlight w:val="none"/>
              </w:rPr>
              <w:t>7</w:t>
            </w:r>
            <w:r>
              <w:rPr>
                <w:rFonts w:hint="eastAsia" w:ascii="仿宋_GB2312" w:hAnsi="宋体" w:eastAsia="仿宋_GB2312"/>
                <w:sz w:val="32"/>
                <w:szCs w:val="32"/>
                <w:highlight w:val="none"/>
              </w:rPr>
              <w:t>天内</w:t>
            </w:r>
          </w:p>
        </w:tc>
        <w:tc>
          <w:tcPr>
            <w:tcW w:w="1559" w:type="dxa"/>
            <w:noWrap w:val="0"/>
            <w:vAlign w:val="top"/>
          </w:tcPr>
          <w:p>
            <w:pPr>
              <w:spacing w:line="360" w:lineRule="auto"/>
              <w:rPr>
                <w:rFonts w:hint="eastAsia" w:ascii="仿宋_GB2312" w:hAnsi="宋体" w:eastAsia="仿宋_GB2312"/>
                <w:sz w:val="32"/>
                <w:szCs w:val="32"/>
                <w:highlight w:val="none"/>
              </w:rPr>
            </w:pPr>
          </w:p>
        </w:tc>
        <w:tc>
          <w:tcPr>
            <w:tcW w:w="2835" w:type="dxa"/>
            <w:noWrap w:val="0"/>
            <w:vAlign w:val="top"/>
          </w:tcPr>
          <w:p>
            <w:pPr>
              <w:spacing w:line="360" w:lineRule="auto"/>
              <w:rPr>
                <w:rFonts w:hint="eastAsia" w:ascii="仿宋_GB2312" w:hAnsi="宋体"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9" w:type="dxa"/>
            <w:noWrap w:val="0"/>
            <w:vAlign w:val="top"/>
          </w:tcPr>
          <w:p>
            <w:pPr>
              <w:spacing w:line="360" w:lineRule="auto"/>
              <w:rPr>
                <w:rFonts w:hint="eastAsia" w:ascii="仿宋_GB2312" w:hAnsi="宋体" w:eastAsia="仿宋_GB2312"/>
                <w:sz w:val="32"/>
                <w:szCs w:val="32"/>
                <w:highlight w:val="none"/>
              </w:rPr>
            </w:pPr>
            <w:r>
              <w:rPr>
                <w:rFonts w:hint="eastAsia" w:ascii="仿宋_GB2312" w:hAnsi="宋体" w:eastAsia="仿宋_GB2312"/>
                <w:sz w:val="32"/>
                <w:szCs w:val="32"/>
                <w:highlight w:val="none"/>
              </w:rPr>
              <w:t>第二次付款</w:t>
            </w:r>
          </w:p>
        </w:tc>
        <w:tc>
          <w:tcPr>
            <w:tcW w:w="2127" w:type="dxa"/>
            <w:noWrap w:val="0"/>
            <w:vAlign w:val="top"/>
          </w:tcPr>
          <w:p>
            <w:pPr>
              <w:spacing w:line="360" w:lineRule="auto"/>
              <w:ind w:firstLine="480" w:firstLineChars="150"/>
              <w:rPr>
                <w:rFonts w:hint="eastAsia" w:ascii="仿宋_GB2312" w:eastAsia="仿宋_GB2312"/>
                <w:sz w:val="32"/>
                <w:szCs w:val="32"/>
                <w:highlight w:val="none"/>
              </w:rPr>
            </w:pPr>
          </w:p>
        </w:tc>
        <w:tc>
          <w:tcPr>
            <w:tcW w:w="1559" w:type="dxa"/>
            <w:noWrap w:val="0"/>
            <w:vAlign w:val="top"/>
          </w:tcPr>
          <w:p>
            <w:pPr>
              <w:spacing w:line="360" w:lineRule="auto"/>
              <w:rPr>
                <w:rFonts w:hint="eastAsia" w:ascii="仿宋_GB2312" w:hAnsi="宋体" w:eastAsia="仿宋_GB2312"/>
                <w:sz w:val="32"/>
                <w:szCs w:val="32"/>
                <w:highlight w:val="none"/>
              </w:rPr>
            </w:pPr>
          </w:p>
        </w:tc>
        <w:tc>
          <w:tcPr>
            <w:tcW w:w="2835" w:type="dxa"/>
            <w:noWrap w:val="0"/>
            <w:vAlign w:val="top"/>
          </w:tcPr>
          <w:p>
            <w:pPr>
              <w:spacing w:line="360" w:lineRule="auto"/>
              <w:ind w:firstLine="1120" w:firstLineChars="350"/>
              <w:rPr>
                <w:rFonts w:hint="eastAsia" w:ascii="仿宋_GB2312" w:hAnsi="宋体"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9" w:type="dxa"/>
            <w:noWrap w:val="0"/>
            <w:vAlign w:val="top"/>
          </w:tcPr>
          <w:p>
            <w:pPr>
              <w:spacing w:line="360" w:lineRule="auto"/>
              <w:rPr>
                <w:rFonts w:hint="eastAsia" w:ascii="仿宋_GB2312" w:hAnsi="宋体" w:eastAsia="仿宋_GB2312"/>
                <w:sz w:val="32"/>
                <w:szCs w:val="32"/>
                <w:highlight w:val="none"/>
              </w:rPr>
            </w:pPr>
            <w:r>
              <w:rPr>
                <w:rFonts w:hint="eastAsia" w:ascii="仿宋_GB2312" w:hAnsi="宋体" w:eastAsia="仿宋_GB2312"/>
                <w:sz w:val="32"/>
                <w:szCs w:val="32"/>
                <w:highlight w:val="none"/>
              </w:rPr>
              <w:t>第三次付款</w:t>
            </w:r>
          </w:p>
        </w:tc>
        <w:tc>
          <w:tcPr>
            <w:tcW w:w="2127" w:type="dxa"/>
            <w:noWrap w:val="0"/>
            <w:vAlign w:val="top"/>
          </w:tcPr>
          <w:p>
            <w:pPr>
              <w:spacing w:line="360" w:lineRule="auto"/>
              <w:ind w:firstLine="480" w:firstLineChars="150"/>
              <w:rPr>
                <w:rFonts w:hint="eastAsia" w:ascii="仿宋_GB2312" w:eastAsia="仿宋_GB2312"/>
                <w:sz w:val="32"/>
                <w:szCs w:val="32"/>
                <w:highlight w:val="none"/>
              </w:rPr>
            </w:pPr>
          </w:p>
        </w:tc>
        <w:tc>
          <w:tcPr>
            <w:tcW w:w="1559" w:type="dxa"/>
            <w:noWrap w:val="0"/>
            <w:vAlign w:val="top"/>
          </w:tcPr>
          <w:p>
            <w:pPr>
              <w:spacing w:line="360" w:lineRule="auto"/>
              <w:rPr>
                <w:rFonts w:hint="eastAsia" w:ascii="仿宋_GB2312" w:hAnsi="宋体" w:eastAsia="仿宋_GB2312"/>
                <w:sz w:val="32"/>
                <w:szCs w:val="32"/>
                <w:highlight w:val="none"/>
              </w:rPr>
            </w:pPr>
          </w:p>
        </w:tc>
        <w:tc>
          <w:tcPr>
            <w:tcW w:w="2835" w:type="dxa"/>
            <w:noWrap w:val="0"/>
            <w:vAlign w:val="top"/>
          </w:tcPr>
          <w:p>
            <w:pPr>
              <w:spacing w:line="360" w:lineRule="auto"/>
              <w:rPr>
                <w:rFonts w:hint="eastAsia" w:ascii="仿宋_GB2312" w:hAnsi="宋体"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9" w:type="dxa"/>
            <w:noWrap w:val="0"/>
            <w:vAlign w:val="top"/>
          </w:tcPr>
          <w:p>
            <w:pPr>
              <w:spacing w:line="360" w:lineRule="auto"/>
              <w:jc w:val="center"/>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p>
        </w:tc>
        <w:tc>
          <w:tcPr>
            <w:tcW w:w="2127" w:type="dxa"/>
            <w:noWrap w:val="0"/>
            <w:vAlign w:val="top"/>
          </w:tcPr>
          <w:p>
            <w:pPr>
              <w:spacing w:line="360" w:lineRule="auto"/>
              <w:rPr>
                <w:rFonts w:hint="eastAsia" w:ascii="仿宋_GB2312" w:eastAsia="仿宋_GB2312"/>
                <w:sz w:val="32"/>
                <w:szCs w:val="32"/>
                <w:highlight w:val="none"/>
              </w:rPr>
            </w:pPr>
          </w:p>
        </w:tc>
        <w:tc>
          <w:tcPr>
            <w:tcW w:w="1559" w:type="dxa"/>
            <w:noWrap w:val="0"/>
            <w:vAlign w:val="top"/>
          </w:tcPr>
          <w:p>
            <w:pPr>
              <w:spacing w:line="360" w:lineRule="auto"/>
              <w:rPr>
                <w:rFonts w:hint="eastAsia" w:ascii="仿宋_GB2312" w:hAnsi="宋体" w:eastAsia="仿宋_GB2312"/>
                <w:sz w:val="32"/>
                <w:szCs w:val="32"/>
                <w:highlight w:val="none"/>
              </w:rPr>
            </w:pPr>
          </w:p>
        </w:tc>
        <w:tc>
          <w:tcPr>
            <w:tcW w:w="2835" w:type="dxa"/>
            <w:noWrap w:val="0"/>
            <w:vAlign w:val="top"/>
          </w:tcPr>
          <w:p>
            <w:pPr>
              <w:spacing w:line="360" w:lineRule="auto"/>
              <w:rPr>
                <w:rFonts w:hint="eastAsia" w:ascii="仿宋_GB2312" w:hAnsi="宋体"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59" w:type="dxa"/>
            <w:noWrap w:val="0"/>
            <w:vAlign w:val="top"/>
          </w:tcPr>
          <w:p>
            <w:pPr>
              <w:spacing w:line="360" w:lineRule="auto"/>
              <w:rPr>
                <w:rFonts w:hint="eastAsia" w:ascii="仿宋_GB2312" w:hAnsi="宋体" w:eastAsia="仿宋_GB2312"/>
                <w:sz w:val="32"/>
                <w:szCs w:val="32"/>
                <w:highlight w:val="none"/>
              </w:rPr>
            </w:pPr>
            <w:r>
              <w:rPr>
                <w:rFonts w:hint="eastAsia" w:ascii="仿宋_GB2312" w:hAnsi="宋体" w:eastAsia="仿宋_GB2312"/>
                <w:sz w:val="32"/>
                <w:szCs w:val="32"/>
                <w:highlight w:val="none"/>
              </w:rPr>
              <w:t>最后付款</w:t>
            </w:r>
          </w:p>
        </w:tc>
        <w:tc>
          <w:tcPr>
            <w:tcW w:w="2127" w:type="dxa"/>
            <w:noWrap w:val="0"/>
            <w:vAlign w:val="top"/>
          </w:tcPr>
          <w:p>
            <w:pPr>
              <w:spacing w:line="360" w:lineRule="auto"/>
              <w:rPr>
                <w:rFonts w:hint="eastAsia" w:ascii="仿宋_GB2312" w:eastAsia="仿宋_GB2312"/>
                <w:sz w:val="32"/>
                <w:szCs w:val="32"/>
                <w:highlight w:val="none"/>
              </w:rPr>
            </w:pPr>
            <w:r>
              <w:rPr>
                <w:rFonts w:hint="eastAsia" w:ascii="仿宋_GB2312" w:hAnsi="宋体" w:eastAsia="仿宋_GB2312"/>
                <w:sz w:val="32"/>
                <w:szCs w:val="32"/>
                <w:highlight w:val="none"/>
              </w:rPr>
              <w:t>监理与相关服务期届满</w:t>
            </w:r>
            <w:r>
              <w:rPr>
                <w:rFonts w:hint="eastAsia" w:ascii="仿宋_GB2312" w:eastAsia="仿宋_GB2312"/>
                <w:sz w:val="32"/>
                <w:szCs w:val="32"/>
                <w:highlight w:val="none"/>
              </w:rPr>
              <w:t>14</w:t>
            </w:r>
            <w:r>
              <w:rPr>
                <w:rFonts w:hint="eastAsia" w:ascii="仿宋_GB2312" w:hAnsi="宋体" w:eastAsia="仿宋_GB2312"/>
                <w:sz w:val="32"/>
                <w:szCs w:val="32"/>
                <w:highlight w:val="none"/>
              </w:rPr>
              <w:t>天内</w:t>
            </w:r>
          </w:p>
        </w:tc>
        <w:tc>
          <w:tcPr>
            <w:tcW w:w="1559" w:type="dxa"/>
            <w:noWrap w:val="0"/>
            <w:vAlign w:val="top"/>
          </w:tcPr>
          <w:p>
            <w:pPr>
              <w:spacing w:line="360" w:lineRule="auto"/>
              <w:jc w:val="center"/>
              <w:rPr>
                <w:rFonts w:hint="eastAsia" w:ascii="仿宋_GB2312" w:hAnsi="宋体" w:eastAsia="仿宋_GB2312"/>
                <w:sz w:val="32"/>
                <w:szCs w:val="32"/>
                <w:highlight w:val="none"/>
              </w:rPr>
            </w:pPr>
          </w:p>
        </w:tc>
        <w:tc>
          <w:tcPr>
            <w:tcW w:w="2835" w:type="dxa"/>
            <w:noWrap w:val="0"/>
            <w:vAlign w:val="top"/>
          </w:tcPr>
          <w:p>
            <w:pPr>
              <w:spacing w:line="360" w:lineRule="auto"/>
              <w:jc w:val="center"/>
              <w:rPr>
                <w:rFonts w:hint="eastAsia" w:ascii="仿宋_GB2312" w:hAnsi="宋体" w:eastAsia="仿宋_GB2312"/>
                <w:sz w:val="32"/>
                <w:szCs w:val="32"/>
                <w:highlight w:val="none"/>
              </w:rPr>
            </w:pPr>
          </w:p>
        </w:tc>
      </w:tr>
    </w:tbl>
    <w:p>
      <w:pPr>
        <w:snapToGrid w:val="0"/>
        <w:spacing w:line="360" w:lineRule="auto"/>
        <w:ind w:firstLine="480" w:firstLineChars="200"/>
        <w:rPr>
          <w:rFonts w:hint="eastAsia" w:ascii="仿宋_GB2312" w:hAnsi="宋体" w:eastAsia="仿宋_GB2312"/>
          <w:sz w:val="32"/>
          <w:szCs w:val="32"/>
          <w:highlight w:val="none"/>
          <w:u w:val="single"/>
        </w:rPr>
      </w:pPr>
      <w:r>
        <w:rPr>
          <w:rFonts w:hint="eastAsia" w:ascii="仿宋_GB2312" w:eastAsia="仿宋_GB2312"/>
          <w:sz w:val="24"/>
          <w:highlight w:val="none"/>
        </w:rPr>
        <w:t xml:space="preserve"> </w:t>
      </w:r>
    </w:p>
    <w:p>
      <w:pPr>
        <w:snapToGrid w:val="0"/>
        <w:spacing w:line="360" w:lineRule="auto"/>
        <w:rPr>
          <w:rFonts w:hint="eastAsia" w:ascii="仿宋_GB2312" w:hAnsi="黑体" w:eastAsia="仿宋_GB2312"/>
          <w:b/>
          <w:bCs/>
          <w:color w:val="FF0000"/>
          <w:sz w:val="32"/>
          <w:szCs w:val="32"/>
          <w:highlight w:val="none"/>
        </w:rPr>
      </w:pPr>
      <w:r>
        <w:rPr>
          <w:rFonts w:hint="eastAsia" w:ascii="仿宋_GB2312" w:hAnsi="黑体" w:eastAsia="仿宋_GB2312"/>
          <w:bCs/>
          <w:sz w:val="32"/>
          <w:szCs w:val="32"/>
          <w:highlight w:val="none"/>
        </w:rPr>
        <w:t>6</w:t>
      </w:r>
      <w:r>
        <w:rPr>
          <w:rFonts w:hint="eastAsia" w:ascii="仿宋_GB2312" w:hAnsi="黑体" w:eastAsia="仿宋_GB2312"/>
          <w:b/>
          <w:bCs/>
          <w:sz w:val="32"/>
          <w:szCs w:val="32"/>
          <w:highlight w:val="none"/>
        </w:rPr>
        <w:t>. 合同生效、变更、暂停、解除与终止</w:t>
      </w:r>
    </w:p>
    <w:p>
      <w:pPr>
        <w:adjustRightInd w:val="0"/>
        <w:snapToGrid w:val="0"/>
        <w:spacing w:line="360" w:lineRule="auto"/>
        <w:ind w:firstLine="320" w:firstLineChars="100"/>
        <w:rPr>
          <w:rFonts w:hint="eastAsia" w:ascii="仿宋_GB2312" w:eastAsia="仿宋_GB2312"/>
          <w:sz w:val="32"/>
          <w:szCs w:val="32"/>
          <w:highlight w:val="none"/>
        </w:rPr>
      </w:pPr>
      <w:r>
        <w:rPr>
          <w:rFonts w:hint="eastAsia" w:ascii="仿宋_GB2312" w:eastAsia="仿宋_GB2312"/>
          <w:sz w:val="32"/>
          <w:szCs w:val="32"/>
          <w:highlight w:val="none"/>
        </w:rPr>
        <w:t>6.1 生效</w:t>
      </w:r>
    </w:p>
    <w:p>
      <w:pPr>
        <w:adjustRightInd w:val="0"/>
        <w:snapToGrid w:val="0"/>
        <w:spacing w:line="360" w:lineRule="auto"/>
        <w:ind w:firstLine="480"/>
        <w:rPr>
          <w:rFonts w:hint="eastAsia" w:ascii="仿宋_GB2312" w:hAnsi="宋体" w:eastAsia="仿宋_GB2312"/>
          <w:sz w:val="24"/>
          <w:highlight w:val="none"/>
        </w:rPr>
      </w:pPr>
      <w:r>
        <w:rPr>
          <w:rFonts w:hint="eastAsia" w:ascii="仿宋_GB2312" w:hAnsi="宋体" w:eastAsia="仿宋_GB2312"/>
          <w:sz w:val="32"/>
          <w:szCs w:val="32"/>
          <w:highlight w:val="none"/>
        </w:rPr>
        <w:t>本合同生效条件：</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w:t>
      </w:r>
    </w:p>
    <w:p>
      <w:pPr>
        <w:adjustRightInd w:val="0"/>
        <w:snapToGrid w:val="0"/>
        <w:spacing w:line="360" w:lineRule="auto"/>
        <w:ind w:firstLine="313" w:firstLineChars="98"/>
        <w:rPr>
          <w:rFonts w:hint="eastAsia" w:ascii="仿宋_GB2312" w:eastAsia="仿宋_GB2312"/>
          <w:sz w:val="32"/>
          <w:szCs w:val="32"/>
          <w:highlight w:val="none"/>
        </w:rPr>
      </w:pPr>
      <w:r>
        <w:rPr>
          <w:rFonts w:hint="eastAsia" w:ascii="仿宋_GB2312" w:eastAsia="仿宋_GB2312"/>
          <w:sz w:val="32"/>
          <w:szCs w:val="32"/>
          <w:highlight w:val="none"/>
        </w:rPr>
        <w:t>6.2 变更</w:t>
      </w:r>
    </w:p>
    <w:p>
      <w:pPr>
        <w:adjustRightInd w:val="0"/>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6.2.2 除不可抗力外， 因非监理人原因导致本合同期限延长时，附加工作酬金按下列方法确定：</w:t>
      </w:r>
    </w:p>
    <w:p>
      <w:pPr>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附加工作</w:t>
      </w:r>
      <w:r>
        <w:rPr>
          <w:rFonts w:hint="eastAsia" w:ascii="仿宋_GB2312" w:hAnsi="宋体" w:eastAsia="仿宋_GB2312"/>
          <w:sz w:val="32"/>
          <w:szCs w:val="32"/>
          <w:highlight w:val="none"/>
        </w:rPr>
        <w:t>酬金</w:t>
      </w:r>
      <w:r>
        <w:rPr>
          <w:rFonts w:hint="eastAsia" w:ascii="仿宋_GB2312" w:eastAsia="仿宋_GB2312"/>
          <w:kern w:val="0"/>
          <w:sz w:val="32"/>
          <w:szCs w:val="32"/>
          <w:highlight w:val="none"/>
        </w:rPr>
        <w:t>=</w:t>
      </w:r>
      <w:r>
        <w:rPr>
          <w:rFonts w:hint="eastAsia" w:ascii="仿宋_GB2312" w:eastAsia="仿宋_GB2312"/>
          <w:sz w:val="32"/>
          <w:szCs w:val="32"/>
          <w:highlight w:val="none"/>
        </w:rPr>
        <w:t>本合同期限延长</w:t>
      </w:r>
      <w:r>
        <w:rPr>
          <w:rFonts w:hint="eastAsia" w:ascii="仿宋_GB2312" w:hAnsi="宋体" w:eastAsia="仿宋_GB2312"/>
          <w:kern w:val="0"/>
          <w:sz w:val="32"/>
          <w:szCs w:val="32"/>
          <w:highlight w:val="none"/>
        </w:rPr>
        <w:t>时间（天）</w:t>
      </w:r>
      <w:r>
        <w:rPr>
          <w:rFonts w:hint="eastAsia" w:ascii="仿宋_GB2312" w:eastAsia="仿宋_GB2312"/>
          <w:kern w:val="0"/>
          <w:sz w:val="32"/>
          <w:szCs w:val="32"/>
          <w:highlight w:val="none"/>
        </w:rPr>
        <w:t>×正常工作</w:t>
      </w:r>
      <w:r>
        <w:rPr>
          <w:rFonts w:hint="eastAsia" w:ascii="仿宋_GB2312" w:hAnsi="宋体" w:eastAsia="仿宋_GB2312"/>
          <w:kern w:val="0"/>
          <w:sz w:val="32"/>
          <w:szCs w:val="32"/>
          <w:highlight w:val="none"/>
        </w:rPr>
        <w:t>酬金</w:t>
      </w:r>
      <w:r>
        <w:rPr>
          <w:rFonts w:hint="eastAsia" w:ascii="仿宋_GB2312" w:eastAsia="仿宋_GB2312"/>
          <w:kern w:val="0"/>
          <w:sz w:val="32"/>
          <w:szCs w:val="32"/>
          <w:highlight w:val="none"/>
        </w:rPr>
        <w:t>÷</w:t>
      </w:r>
      <w:r>
        <w:rPr>
          <w:rFonts w:hint="eastAsia" w:ascii="仿宋_GB2312" w:hAnsi="宋体" w:eastAsia="仿宋_GB2312"/>
          <w:sz w:val="32"/>
          <w:szCs w:val="32"/>
          <w:highlight w:val="none"/>
        </w:rPr>
        <w:t>协议书约定的监理与相关服务期限</w:t>
      </w:r>
      <w:r>
        <w:rPr>
          <w:rFonts w:hint="eastAsia" w:ascii="仿宋_GB2312" w:hAnsi="宋体" w:eastAsia="仿宋_GB2312"/>
          <w:kern w:val="0"/>
          <w:sz w:val="32"/>
          <w:szCs w:val="32"/>
          <w:highlight w:val="none"/>
        </w:rPr>
        <w:t>（天）</w:t>
      </w:r>
    </w:p>
    <w:p>
      <w:pPr>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6.2.3附加工作酬金按下列方法确定：</w:t>
      </w:r>
    </w:p>
    <w:p>
      <w:pPr>
        <w:snapToGrid w:val="0"/>
        <w:spacing w:line="360" w:lineRule="auto"/>
        <w:ind w:firstLine="640" w:firstLineChars="200"/>
        <w:rPr>
          <w:rFonts w:hint="eastAsia" w:ascii="仿宋_GB2312" w:hAnsi="宋体" w:eastAsia="仿宋_GB2312"/>
          <w:kern w:val="0"/>
          <w:sz w:val="32"/>
          <w:szCs w:val="32"/>
          <w:highlight w:val="none"/>
        </w:rPr>
      </w:pPr>
      <w:r>
        <w:rPr>
          <w:rFonts w:hint="eastAsia" w:ascii="仿宋_GB2312" w:hAnsi="宋体" w:eastAsia="仿宋_GB2312"/>
          <w:kern w:val="0"/>
          <w:sz w:val="32"/>
          <w:szCs w:val="32"/>
          <w:highlight w:val="none"/>
        </w:rPr>
        <w:t>附加工作</w:t>
      </w:r>
      <w:r>
        <w:rPr>
          <w:rFonts w:hint="eastAsia" w:ascii="仿宋_GB2312" w:hAnsi="宋体" w:eastAsia="仿宋_GB2312"/>
          <w:sz w:val="32"/>
          <w:szCs w:val="32"/>
          <w:highlight w:val="none"/>
        </w:rPr>
        <w:t>酬金</w:t>
      </w:r>
      <w:r>
        <w:rPr>
          <w:rFonts w:hint="eastAsia" w:ascii="仿宋_GB2312" w:eastAsia="仿宋_GB2312"/>
          <w:kern w:val="0"/>
          <w:sz w:val="32"/>
          <w:szCs w:val="32"/>
          <w:highlight w:val="none"/>
        </w:rPr>
        <w:t>=善后工作及恢复服务的准备工作时间</w:t>
      </w:r>
      <w:r>
        <w:rPr>
          <w:rFonts w:hint="eastAsia" w:ascii="仿宋_GB2312" w:hAnsi="宋体" w:eastAsia="仿宋_GB2312"/>
          <w:kern w:val="0"/>
          <w:sz w:val="32"/>
          <w:szCs w:val="32"/>
          <w:highlight w:val="none"/>
        </w:rPr>
        <w:t>（天）</w:t>
      </w:r>
      <w:r>
        <w:rPr>
          <w:rFonts w:hint="eastAsia" w:ascii="仿宋_GB2312" w:eastAsia="仿宋_GB2312"/>
          <w:kern w:val="0"/>
          <w:sz w:val="32"/>
          <w:szCs w:val="32"/>
          <w:highlight w:val="none"/>
        </w:rPr>
        <w:t>×正常工作</w:t>
      </w:r>
      <w:r>
        <w:rPr>
          <w:rFonts w:hint="eastAsia" w:ascii="仿宋_GB2312" w:hAnsi="宋体" w:eastAsia="仿宋_GB2312"/>
          <w:kern w:val="0"/>
          <w:sz w:val="32"/>
          <w:szCs w:val="32"/>
          <w:highlight w:val="none"/>
        </w:rPr>
        <w:t>酬金</w:t>
      </w:r>
      <w:r>
        <w:rPr>
          <w:rFonts w:hint="eastAsia" w:ascii="仿宋_GB2312" w:eastAsia="仿宋_GB2312"/>
          <w:kern w:val="0"/>
          <w:sz w:val="32"/>
          <w:szCs w:val="32"/>
          <w:highlight w:val="none"/>
        </w:rPr>
        <w:t>÷</w:t>
      </w:r>
      <w:r>
        <w:rPr>
          <w:rFonts w:hint="eastAsia" w:ascii="仿宋_GB2312" w:hAnsi="宋体" w:eastAsia="仿宋_GB2312"/>
          <w:sz w:val="32"/>
          <w:szCs w:val="32"/>
          <w:highlight w:val="none"/>
        </w:rPr>
        <w:t>协议书约定的监理与相关服务期限</w:t>
      </w:r>
      <w:r>
        <w:rPr>
          <w:rFonts w:hint="eastAsia" w:ascii="仿宋_GB2312" w:hAnsi="宋体" w:eastAsia="仿宋_GB2312"/>
          <w:kern w:val="0"/>
          <w:sz w:val="32"/>
          <w:szCs w:val="32"/>
          <w:highlight w:val="none"/>
        </w:rPr>
        <w:t>（天）</w:t>
      </w:r>
    </w:p>
    <w:p>
      <w:pPr>
        <w:adjustRightInd w:val="0"/>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 xml:space="preserve">6.2.5 正常工作酬金增加额按下列方法确定： </w:t>
      </w:r>
    </w:p>
    <w:p>
      <w:pPr>
        <w:adjustRightInd w:val="0"/>
        <w:snapToGrid w:val="0"/>
        <w:spacing w:line="360" w:lineRule="auto"/>
        <w:ind w:firstLine="480"/>
        <w:rPr>
          <w:rFonts w:hint="eastAsia" w:ascii="仿宋_GB2312" w:hAnsi="宋体" w:eastAsia="仿宋_GB2312"/>
          <w:kern w:val="0"/>
          <w:sz w:val="32"/>
          <w:szCs w:val="32"/>
          <w:highlight w:val="none"/>
        </w:rPr>
      </w:pPr>
      <w:r>
        <w:rPr>
          <w:rFonts w:hint="eastAsia" w:ascii="仿宋_GB2312" w:hAnsi="宋体" w:eastAsia="仿宋_GB2312"/>
          <w:sz w:val="32"/>
          <w:szCs w:val="32"/>
          <w:highlight w:val="none"/>
        </w:rPr>
        <w:t>正常工作酬金增加额</w:t>
      </w:r>
      <w:r>
        <w:rPr>
          <w:rFonts w:hint="eastAsia" w:ascii="仿宋_GB2312" w:eastAsia="仿宋_GB2312"/>
          <w:kern w:val="0"/>
          <w:sz w:val="32"/>
          <w:szCs w:val="32"/>
          <w:highlight w:val="none"/>
        </w:rPr>
        <w:t>=</w:t>
      </w:r>
      <w:r>
        <w:rPr>
          <w:rFonts w:hint="eastAsia" w:ascii="仿宋_GB2312" w:hAnsi="宋体" w:eastAsia="仿宋_GB2312"/>
          <w:kern w:val="0"/>
          <w:sz w:val="32"/>
          <w:szCs w:val="32"/>
          <w:highlight w:val="none"/>
        </w:rPr>
        <w:t>工程投资额</w:t>
      </w:r>
      <w:r>
        <w:rPr>
          <w:rFonts w:hint="eastAsia" w:ascii="仿宋_GB2312" w:hAnsi="宋体" w:eastAsia="仿宋_GB2312"/>
          <w:sz w:val="32"/>
          <w:szCs w:val="32"/>
          <w:highlight w:val="none"/>
        </w:rPr>
        <w:t>或建筑安装工程费</w:t>
      </w:r>
      <w:r>
        <w:rPr>
          <w:rFonts w:hint="eastAsia" w:ascii="仿宋_GB2312" w:hAnsi="宋体" w:eastAsia="仿宋_GB2312"/>
          <w:kern w:val="0"/>
          <w:sz w:val="32"/>
          <w:szCs w:val="32"/>
          <w:highlight w:val="none"/>
        </w:rPr>
        <w:t>增加额</w:t>
      </w:r>
      <w:r>
        <w:rPr>
          <w:rFonts w:hint="eastAsia" w:ascii="仿宋_GB2312" w:eastAsia="仿宋_GB2312"/>
          <w:kern w:val="0"/>
          <w:sz w:val="32"/>
          <w:szCs w:val="32"/>
          <w:highlight w:val="none"/>
        </w:rPr>
        <w:t>×</w:t>
      </w:r>
      <w:r>
        <w:rPr>
          <w:rFonts w:hint="eastAsia" w:ascii="仿宋_GB2312" w:hAnsi="宋体" w:eastAsia="仿宋_GB2312"/>
          <w:kern w:val="0"/>
          <w:sz w:val="32"/>
          <w:szCs w:val="32"/>
          <w:highlight w:val="none"/>
        </w:rPr>
        <w:t>正常工作酬金</w:t>
      </w:r>
      <w:r>
        <w:rPr>
          <w:rFonts w:hint="eastAsia" w:ascii="仿宋_GB2312" w:eastAsia="仿宋_GB2312"/>
          <w:kern w:val="0"/>
          <w:sz w:val="32"/>
          <w:szCs w:val="32"/>
          <w:highlight w:val="none"/>
        </w:rPr>
        <w:t>÷</w:t>
      </w:r>
      <w:r>
        <w:rPr>
          <w:rFonts w:hint="eastAsia" w:ascii="仿宋_GB2312" w:hAnsi="宋体" w:eastAsia="仿宋_GB2312"/>
          <w:kern w:val="0"/>
          <w:sz w:val="32"/>
          <w:szCs w:val="32"/>
          <w:highlight w:val="none"/>
        </w:rPr>
        <w:t>工程概算投资额（或建筑安装工程费）</w:t>
      </w:r>
    </w:p>
    <w:p>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6.2.6 因工程规模、监理范围的变化导致监理人的正常工作量减少时，按减少工作量的比例从协议书约定的正常工作酬金中扣减相同比例的酬金。</w:t>
      </w:r>
    </w:p>
    <w:p>
      <w:pPr>
        <w:snapToGrid w:val="0"/>
        <w:spacing w:line="360" w:lineRule="auto"/>
        <w:rPr>
          <w:rFonts w:hint="eastAsia" w:ascii="仿宋_GB2312" w:hAnsi="黑体" w:eastAsia="仿宋_GB2312"/>
          <w:b/>
          <w:sz w:val="32"/>
          <w:szCs w:val="32"/>
          <w:highlight w:val="none"/>
        </w:rPr>
      </w:pPr>
      <w:r>
        <w:rPr>
          <w:rFonts w:hint="eastAsia" w:ascii="仿宋_GB2312" w:hAnsi="黑体" w:eastAsia="仿宋_GB2312"/>
          <w:b/>
          <w:bCs/>
          <w:sz w:val="32"/>
          <w:szCs w:val="32"/>
          <w:highlight w:val="none"/>
        </w:rPr>
        <w:t>7. 争议解决</w:t>
      </w:r>
    </w:p>
    <w:p>
      <w:pPr>
        <w:snapToGrid w:val="0"/>
        <w:spacing w:line="360" w:lineRule="auto"/>
        <w:ind w:firstLine="313" w:firstLineChars="98"/>
        <w:rPr>
          <w:rFonts w:hint="eastAsia" w:ascii="仿宋_GB2312" w:eastAsia="仿宋_GB2312"/>
          <w:sz w:val="32"/>
          <w:szCs w:val="32"/>
          <w:highlight w:val="none"/>
        </w:rPr>
      </w:pPr>
      <w:r>
        <w:rPr>
          <w:rFonts w:hint="eastAsia" w:ascii="仿宋_GB2312" w:eastAsia="仿宋_GB2312"/>
          <w:sz w:val="32"/>
          <w:szCs w:val="32"/>
          <w:highlight w:val="none"/>
        </w:rPr>
        <w:t xml:space="preserve">7.2 </w:t>
      </w:r>
      <w:r>
        <w:rPr>
          <w:rFonts w:hint="eastAsia" w:ascii="仿宋_GB2312" w:hAnsi="宋体" w:eastAsia="仿宋_GB2312"/>
          <w:bCs/>
          <w:sz w:val="32"/>
          <w:szCs w:val="32"/>
          <w:highlight w:val="none"/>
        </w:rPr>
        <w:t>调解</w:t>
      </w:r>
    </w:p>
    <w:p>
      <w:pPr>
        <w:snapToGrid w:val="0"/>
        <w:spacing w:line="360" w:lineRule="auto"/>
        <w:ind w:firstLine="627" w:firstLineChars="196"/>
        <w:rPr>
          <w:rFonts w:hint="eastAsia" w:ascii="仿宋_GB2312" w:eastAsia="仿宋_GB2312"/>
          <w:sz w:val="32"/>
          <w:szCs w:val="32"/>
          <w:highlight w:val="none"/>
        </w:rPr>
      </w:pPr>
      <w:r>
        <w:rPr>
          <w:rFonts w:hint="eastAsia" w:ascii="仿宋_GB2312" w:hAnsi="宋体" w:eastAsia="仿宋_GB2312"/>
          <w:sz w:val="32"/>
          <w:szCs w:val="32"/>
          <w:highlight w:val="none"/>
        </w:rPr>
        <w:t>本合同争议进行调解时，可提交</w:t>
      </w:r>
      <w:r>
        <w:rPr>
          <w:rFonts w:hint="eastAsia" w:ascii="仿宋_GB2312" w:hAnsi="BatangChe" w:eastAsia="仿宋_GB2312"/>
          <w:sz w:val="32"/>
          <w:szCs w:val="32"/>
          <w:highlight w:val="none"/>
          <w:u w:val="single"/>
        </w:rPr>
        <w:t xml:space="preserve">        </w:t>
      </w:r>
      <w:r>
        <w:rPr>
          <w:rFonts w:hint="eastAsia" w:ascii="仿宋_GB2312" w:hAnsi="宋体" w:eastAsia="仿宋_GB2312"/>
          <w:sz w:val="32"/>
          <w:szCs w:val="32"/>
          <w:highlight w:val="none"/>
        </w:rPr>
        <w:t>进行调解。</w:t>
      </w:r>
    </w:p>
    <w:p>
      <w:pPr>
        <w:snapToGrid w:val="0"/>
        <w:spacing w:line="360" w:lineRule="auto"/>
        <w:ind w:firstLine="313" w:firstLineChars="98"/>
        <w:rPr>
          <w:rFonts w:hint="eastAsia" w:ascii="仿宋_GB2312" w:hAnsi="宋体" w:eastAsia="仿宋_GB2312"/>
          <w:sz w:val="32"/>
          <w:szCs w:val="32"/>
          <w:highlight w:val="none"/>
        </w:rPr>
      </w:pPr>
      <w:r>
        <w:rPr>
          <w:rFonts w:hint="eastAsia" w:ascii="仿宋_GB2312" w:eastAsia="仿宋_GB2312"/>
          <w:sz w:val="32"/>
          <w:szCs w:val="32"/>
          <w:highlight w:val="none"/>
        </w:rPr>
        <w:t xml:space="preserve">7.3 </w:t>
      </w:r>
      <w:r>
        <w:rPr>
          <w:rFonts w:hint="eastAsia" w:ascii="仿宋_GB2312" w:hAnsi="宋体" w:eastAsia="仿宋_GB2312"/>
          <w:bCs/>
          <w:sz w:val="32"/>
          <w:szCs w:val="32"/>
          <w:highlight w:val="none"/>
        </w:rPr>
        <w:t>仲裁或诉讼</w:t>
      </w:r>
    </w:p>
    <w:p>
      <w:pPr>
        <w:adjustRightInd w:val="0"/>
        <w:snapToGrid w:val="0"/>
        <w:spacing w:line="360" w:lineRule="auto"/>
        <w:ind w:firstLine="640" w:firstLineChars="200"/>
        <w:rPr>
          <w:rFonts w:hint="eastAsia" w:ascii="仿宋_GB2312" w:hAnsi="BatangChe" w:eastAsia="仿宋_GB2312"/>
          <w:sz w:val="32"/>
          <w:szCs w:val="32"/>
          <w:highlight w:val="none"/>
        </w:rPr>
      </w:pPr>
      <w:r>
        <w:rPr>
          <w:rFonts w:hint="eastAsia" w:ascii="仿宋_GB2312" w:hAnsi="BatangChe" w:eastAsia="仿宋_GB2312"/>
          <w:sz w:val="32"/>
          <w:szCs w:val="32"/>
          <w:highlight w:val="none"/>
        </w:rPr>
        <w:t>合同</w:t>
      </w:r>
      <w:r>
        <w:rPr>
          <w:rFonts w:hint="eastAsia" w:ascii="仿宋_GB2312" w:hAnsi="宋体" w:eastAsia="仿宋_GB2312"/>
          <w:sz w:val="32"/>
          <w:szCs w:val="32"/>
          <w:highlight w:val="none"/>
        </w:rPr>
        <w:t>争议</w:t>
      </w:r>
      <w:r>
        <w:rPr>
          <w:rFonts w:hint="eastAsia" w:ascii="仿宋_GB2312" w:hAnsi="BatangChe" w:eastAsia="仿宋_GB2312"/>
          <w:sz w:val="32"/>
          <w:szCs w:val="32"/>
          <w:highlight w:val="none"/>
        </w:rPr>
        <w:t>的最</w:t>
      </w:r>
      <w:r>
        <w:rPr>
          <w:rFonts w:hint="eastAsia" w:ascii="仿宋_GB2312" w:hAnsi="宋体" w:eastAsia="仿宋_GB2312"/>
          <w:sz w:val="32"/>
          <w:szCs w:val="32"/>
          <w:highlight w:val="none"/>
        </w:rPr>
        <w:t>终</w:t>
      </w:r>
      <w:r>
        <w:rPr>
          <w:rFonts w:hint="eastAsia" w:ascii="仿宋_GB2312" w:hAnsi="BatangChe" w:eastAsia="仿宋_GB2312"/>
          <w:sz w:val="32"/>
          <w:szCs w:val="32"/>
          <w:highlight w:val="none"/>
        </w:rPr>
        <w:t>解</w:t>
      </w:r>
      <w:r>
        <w:rPr>
          <w:rFonts w:hint="eastAsia" w:ascii="仿宋_GB2312" w:hAnsi="宋体" w:eastAsia="仿宋_GB2312"/>
          <w:sz w:val="32"/>
          <w:szCs w:val="32"/>
          <w:highlight w:val="none"/>
        </w:rPr>
        <w:t>决</w:t>
      </w:r>
      <w:r>
        <w:rPr>
          <w:rFonts w:hint="eastAsia" w:ascii="仿宋_GB2312" w:hAnsi="BatangChe" w:eastAsia="仿宋_GB2312"/>
          <w:sz w:val="32"/>
          <w:szCs w:val="32"/>
          <w:highlight w:val="none"/>
        </w:rPr>
        <w:t>方式</w:t>
      </w:r>
      <w:r>
        <w:rPr>
          <w:rFonts w:hint="eastAsia" w:ascii="仿宋_GB2312" w:hAnsi="宋体" w:eastAsia="仿宋_GB2312"/>
          <w:sz w:val="32"/>
          <w:szCs w:val="32"/>
          <w:highlight w:val="none"/>
        </w:rPr>
        <w:t>为</w:t>
      </w:r>
      <w:r>
        <w:rPr>
          <w:rFonts w:hint="eastAsia" w:ascii="仿宋_GB2312" w:hAnsi="BatangChe" w:eastAsia="仿宋_GB2312"/>
          <w:sz w:val="32"/>
          <w:szCs w:val="32"/>
          <w:highlight w:val="none"/>
        </w:rPr>
        <w:t>下列第</w:t>
      </w:r>
      <w:r>
        <w:rPr>
          <w:rFonts w:hint="eastAsia" w:ascii="仿宋_GB2312" w:hAnsi="BatangChe" w:eastAsia="仿宋_GB2312"/>
          <w:sz w:val="32"/>
          <w:szCs w:val="32"/>
          <w:highlight w:val="none"/>
          <w:u w:val="single"/>
        </w:rPr>
        <w:t xml:space="preserve">        </w:t>
      </w:r>
      <w:r>
        <w:rPr>
          <w:rFonts w:hint="eastAsia" w:ascii="仿宋_GB2312" w:hAnsi="宋体" w:eastAsia="仿宋_GB2312"/>
          <w:sz w:val="32"/>
          <w:szCs w:val="32"/>
          <w:highlight w:val="none"/>
        </w:rPr>
        <w:t>种</w:t>
      </w:r>
      <w:r>
        <w:rPr>
          <w:rFonts w:hint="eastAsia" w:ascii="仿宋_GB2312" w:hAnsi="BatangChe" w:eastAsia="仿宋_GB2312"/>
          <w:sz w:val="32"/>
          <w:szCs w:val="32"/>
          <w:highlight w:val="none"/>
        </w:rPr>
        <w:t>方式：</w:t>
      </w:r>
    </w:p>
    <w:p>
      <w:pPr>
        <w:adjustRightInd w:val="0"/>
        <w:snapToGrid w:val="0"/>
        <w:spacing w:line="360" w:lineRule="auto"/>
        <w:ind w:firstLine="640" w:firstLineChars="200"/>
        <w:rPr>
          <w:rFonts w:hint="eastAsia" w:ascii="仿宋_GB2312" w:hAnsi="BatangChe" w:eastAsia="仿宋_GB2312"/>
          <w:sz w:val="32"/>
          <w:szCs w:val="32"/>
          <w:highlight w:val="none"/>
        </w:rPr>
      </w:pPr>
      <w:r>
        <w:rPr>
          <w:rFonts w:hint="eastAsia" w:ascii="仿宋_GB2312" w:hAnsi="BatangChe" w:eastAsia="仿宋_GB2312"/>
          <w:sz w:val="32"/>
          <w:szCs w:val="32"/>
          <w:highlight w:val="none"/>
        </w:rPr>
        <w:t>（1）提</w:t>
      </w:r>
      <w:r>
        <w:rPr>
          <w:rFonts w:hint="eastAsia" w:ascii="仿宋_GB2312" w:hAnsi="宋体" w:eastAsia="仿宋_GB2312"/>
          <w:sz w:val="32"/>
          <w:szCs w:val="32"/>
          <w:highlight w:val="none"/>
        </w:rPr>
        <w:t>请</w:t>
      </w:r>
      <w:r>
        <w:rPr>
          <w:rFonts w:hint="eastAsia" w:ascii="仿宋_GB2312" w:hAnsi="BatangChe" w:eastAsia="仿宋_GB2312"/>
          <w:sz w:val="32"/>
          <w:szCs w:val="32"/>
          <w:highlight w:val="none"/>
          <w:u w:val="single"/>
        </w:rPr>
        <w:t xml:space="preserve">        </w:t>
      </w:r>
      <w:r>
        <w:rPr>
          <w:rFonts w:hint="eastAsia" w:ascii="仿宋_GB2312" w:hAnsi="BatangChe" w:eastAsia="仿宋_GB2312"/>
          <w:sz w:val="32"/>
          <w:szCs w:val="32"/>
          <w:highlight w:val="none"/>
        </w:rPr>
        <w:t>仲裁委</w:t>
      </w:r>
      <w:r>
        <w:rPr>
          <w:rFonts w:hint="eastAsia" w:ascii="仿宋_GB2312" w:hAnsi="宋体" w:eastAsia="仿宋_GB2312"/>
          <w:sz w:val="32"/>
          <w:szCs w:val="32"/>
          <w:highlight w:val="none"/>
        </w:rPr>
        <w:t>员会进</w:t>
      </w:r>
      <w:r>
        <w:rPr>
          <w:rFonts w:hint="eastAsia" w:ascii="仿宋_GB2312" w:hAnsi="BatangChe" w:eastAsia="仿宋_GB2312"/>
          <w:sz w:val="32"/>
          <w:szCs w:val="32"/>
          <w:highlight w:val="none"/>
        </w:rPr>
        <w:t>行仲裁。</w:t>
      </w:r>
    </w:p>
    <w:p>
      <w:pPr>
        <w:adjustRightInd w:val="0"/>
        <w:snapToGrid w:val="0"/>
        <w:spacing w:line="360" w:lineRule="auto"/>
        <w:ind w:firstLine="640" w:firstLineChars="200"/>
        <w:rPr>
          <w:rFonts w:hint="eastAsia" w:ascii="仿宋_GB2312" w:hAnsi="BatangChe" w:eastAsia="仿宋_GB2312"/>
          <w:sz w:val="32"/>
          <w:szCs w:val="32"/>
          <w:highlight w:val="none"/>
        </w:rPr>
      </w:pPr>
      <w:r>
        <w:rPr>
          <w:rFonts w:hint="eastAsia" w:ascii="仿宋_GB2312" w:hAnsi="BatangChe" w:eastAsia="仿宋_GB2312"/>
          <w:sz w:val="32"/>
          <w:szCs w:val="32"/>
          <w:highlight w:val="none"/>
        </w:rPr>
        <w:t>（2）向</w:t>
      </w:r>
      <w:r>
        <w:rPr>
          <w:rFonts w:hint="eastAsia" w:ascii="仿宋_GB2312" w:hAnsi="BatangChe" w:eastAsia="仿宋_GB2312"/>
          <w:sz w:val="32"/>
          <w:szCs w:val="32"/>
          <w:highlight w:val="none"/>
          <w:u w:val="single"/>
        </w:rPr>
        <w:t xml:space="preserve">        </w:t>
      </w:r>
      <w:r>
        <w:rPr>
          <w:rFonts w:hint="eastAsia" w:ascii="仿宋_GB2312" w:hAnsi="BatangChe" w:eastAsia="仿宋_GB2312"/>
          <w:sz w:val="32"/>
          <w:szCs w:val="32"/>
          <w:highlight w:val="none"/>
        </w:rPr>
        <w:t>人民法院提起</w:t>
      </w:r>
      <w:r>
        <w:rPr>
          <w:rFonts w:hint="eastAsia" w:ascii="仿宋_GB2312" w:hAnsi="宋体" w:eastAsia="仿宋_GB2312"/>
          <w:sz w:val="32"/>
          <w:szCs w:val="32"/>
          <w:highlight w:val="none"/>
        </w:rPr>
        <w:t>诉讼。</w:t>
      </w:r>
    </w:p>
    <w:p>
      <w:pPr>
        <w:adjustRightInd w:val="0"/>
        <w:snapToGrid w:val="0"/>
        <w:spacing w:line="360" w:lineRule="auto"/>
        <w:rPr>
          <w:rFonts w:hint="eastAsia" w:ascii="仿宋_GB2312" w:hAnsi="黑体" w:eastAsia="仿宋_GB2312"/>
          <w:b/>
          <w:bCs/>
          <w:sz w:val="32"/>
          <w:szCs w:val="32"/>
          <w:highlight w:val="none"/>
        </w:rPr>
      </w:pPr>
      <w:r>
        <w:rPr>
          <w:rFonts w:hint="eastAsia" w:ascii="仿宋_GB2312" w:eastAsia="仿宋_GB2312"/>
          <w:b/>
          <w:bCs/>
          <w:sz w:val="32"/>
          <w:szCs w:val="32"/>
          <w:highlight w:val="none"/>
        </w:rPr>
        <w:t>8</w:t>
      </w:r>
      <w:r>
        <w:rPr>
          <w:rFonts w:hint="eastAsia" w:ascii="仿宋_GB2312" w:hAnsi="黑体" w:eastAsia="仿宋_GB2312"/>
          <w:b/>
          <w:bCs/>
          <w:sz w:val="32"/>
          <w:szCs w:val="32"/>
          <w:highlight w:val="none"/>
        </w:rPr>
        <w:t>. 其他</w:t>
      </w:r>
    </w:p>
    <w:p>
      <w:pPr>
        <w:adjustRightInd w:val="0"/>
        <w:snapToGrid w:val="0"/>
        <w:spacing w:line="360" w:lineRule="auto"/>
        <w:rPr>
          <w:rFonts w:hint="eastAsia" w:ascii="仿宋_GB2312" w:hAnsi="黑体" w:eastAsia="仿宋_GB2312"/>
          <w:bCs/>
          <w:sz w:val="32"/>
          <w:szCs w:val="32"/>
          <w:highlight w:val="none"/>
        </w:rPr>
      </w:pPr>
      <w:r>
        <w:rPr>
          <w:rFonts w:hint="eastAsia" w:ascii="仿宋_GB2312" w:hAnsi="黑体" w:eastAsia="仿宋_GB2312"/>
          <w:b/>
          <w:bCs/>
          <w:sz w:val="32"/>
          <w:szCs w:val="32"/>
          <w:highlight w:val="none"/>
        </w:rPr>
        <w:t xml:space="preserve">  </w:t>
      </w:r>
      <w:r>
        <w:rPr>
          <w:rFonts w:hint="eastAsia" w:ascii="仿宋_GB2312" w:hAnsi="黑体" w:eastAsia="仿宋_GB2312"/>
          <w:bCs/>
          <w:sz w:val="32"/>
          <w:szCs w:val="32"/>
          <w:highlight w:val="none"/>
        </w:rPr>
        <w:t>8.2 检测费用</w:t>
      </w:r>
    </w:p>
    <w:p>
      <w:pPr>
        <w:adjustRightInd w:val="0"/>
        <w:snapToGrid w:val="0"/>
        <w:spacing w:line="360" w:lineRule="auto"/>
        <w:rPr>
          <w:rFonts w:hint="eastAsia" w:ascii="仿宋_GB2312" w:hAnsi="黑体" w:eastAsia="仿宋_GB2312"/>
          <w:bCs/>
          <w:sz w:val="32"/>
          <w:szCs w:val="32"/>
          <w:highlight w:val="none"/>
        </w:rPr>
      </w:pPr>
      <w:r>
        <w:rPr>
          <w:rFonts w:hint="eastAsia" w:ascii="仿宋_GB2312" w:hAnsi="黑体" w:eastAsia="仿宋_GB2312"/>
          <w:bCs/>
          <w:sz w:val="32"/>
          <w:szCs w:val="32"/>
          <w:highlight w:val="none"/>
        </w:rPr>
        <w:t xml:space="preserve">    委托人应在检测工作完成后</w:t>
      </w:r>
      <w:r>
        <w:rPr>
          <w:rFonts w:hint="eastAsia" w:ascii="仿宋_GB2312" w:eastAsia="仿宋_GB2312"/>
          <w:sz w:val="32"/>
          <w:szCs w:val="32"/>
          <w:highlight w:val="none"/>
          <w:u w:val="single"/>
        </w:rPr>
        <w:t xml:space="preserve">     </w:t>
      </w:r>
      <w:r>
        <w:rPr>
          <w:rFonts w:hint="eastAsia" w:ascii="仿宋_GB2312" w:hAnsi="黑体" w:eastAsia="仿宋_GB2312"/>
          <w:bCs/>
          <w:sz w:val="32"/>
          <w:szCs w:val="32"/>
          <w:highlight w:val="none"/>
        </w:rPr>
        <w:t>天内支付检测费用。</w:t>
      </w:r>
    </w:p>
    <w:p>
      <w:pPr>
        <w:adjustRightInd w:val="0"/>
        <w:snapToGrid w:val="0"/>
        <w:spacing w:line="360" w:lineRule="auto"/>
        <w:rPr>
          <w:rFonts w:hint="eastAsia" w:ascii="仿宋_GB2312" w:hAnsi="黑体" w:eastAsia="仿宋_GB2312"/>
          <w:bCs/>
          <w:sz w:val="32"/>
          <w:szCs w:val="32"/>
          <w:highlight w:val="none"/>
        </w:rPr>
      </w:pPr>
      <w:r>
        <w:rPr>
          <w:rFonts w:hint="eastAsia" w:ascii="仿宋_GB2312" w:hAnsi="黑体" w:eastAsia="仿宋_GB2312"/>
          <w:bCs/>
          <w:sz w:val="32"/>
          <w:szCs w:val="32"/>
          <w:highlight w:val="none"/>
        </w:rPr>
        <w:t xml:space="preserve">  8.3 咨询费用</w:t>
      </w:r>
    </w:p>
    <w:p>
      <w:pPr>
        <w:adjustRightInd w:val="0"/>
        <w:snapToGrid w:val="0"/>
        <w:spacing w:line="360" w:lineRule="auto"/>
        <w:rPr>
          <w:rFonts w:hint="eastAsia" w:ascii="仿宋_GB2312" w:hAnsi="黑体" w:eastAsia="仿宋_GB2312"/>
          <w:bCs/>
          <w:sz w:val="32"/>
          <w:szCs w:val="32"/>
          <w:highlight w:val="none"/>
        </w:rPr>
      </w:pPr>
      <w:r>
        <w:rPr>
          <w:rFonts w:hint="eastAsia" w:ascii="仿宋_GB2312" w:hAnsi="黑体" w:eastAsia="仿宋_GB2312"/>
          <w:bCs/>
          <w:sz w:val="32"/>
          <w:szCs w:val="32"/>
          <w:highlight w:val="none"/>
        </w:rPr>
        <w:t xml:space="preserve">    委托人应在咨询工作完成后</w:t>
      </w:r>
      <w:r>
        <w:rPr>
          <w:rFonts w:hint="eastAsia" w:ascii="仿宋_GB2312" w:eastAsia="仿宋_GB2312"/>
          <w:sz w:val="32"/>
          <w:szCs w:val="32"/>
          <w:highlight w:val="none"/>
          <w:u w:val="single"/>
        </w:rPr>
        <w:t xml:space="preserve">     </w:t>
      </w:r>
      <w:r>
        <w:rPr>
          <w:rFonts w:hint="eastAsia" w:ascii="仿宋_GB2312" w:hAnsi="黑体" w:eastAsia="仿宋_GB2312"/>
          <w:bCs/>
          <w:sz w:val="32"/>
          <w:szCs w:val="32"/>
          <w:highlight w:val="none"/>
        </w:rPr>
        <w:t>天内支付咨询费用。</w:t>
      </w:r>
    </w:p>
    <w:p>
      <w:pPr>
        <w:snapToGrid w:val="0"/>
        <w:spacing w:line="360" w:lineRule="auto"/>
        <w:ind w:firstLine="313" w:firstLineChars="98"/>
        <w:rPr>
          <w:rFonts w:hint="eastAsia" w:ascii="仿宋_GB2312" w:eastAsia="仿宋_GB2312"/>
          <w:sz w:val="32"/>
          <w:szCs w:val="32"/>
          <w:highlight w:val="none"/>
        </w:rPr>
      </w:pPr>
      <w:r>
        <w:rPr>
          <w:rFonts w:hint="eastAsia" w:ascii="仿宋_GB2312" w:eastAsia="仿宋_GB2312"/>
          <w:sz w:val="32"/>
          <w:szCs w:val="32"/>
          <w:highlight w:val="none"/>
        </w:rPr>
        <w:t>8.4 奖励</w:t>
      </w:r>
    </w:p>
    <w:p>
      <w:pPr>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合理化建议的</w:t>
      </w:r>
      <w:r>
        <w:rPr>
          <w:rFonts w:hint="eastAsia" w:ascii="仿宋_GB2312" w:eastAsia="仿宋_GB2312"/>
          <w:sz w:val="32"/>
          <w:szCs w:val="32"/>
          <w:highlight w:val="none"/>
        </w:rPr>
        <w:t>奖励金额</w:t>
      </w:r>
      <w:r>
        <w:rPr>
          <w:rFonts w:hint="eastAsia" w:ascii="仿宋_GB2312" w:hAnsi="宋体" w:eastAsia="仿宋_GB2312"/>
          <w:sz w:val="32"/>
          <w:szCs w:val="32"/>
          <w:highlight w:val="none"/>
        </w:rPr>
        <w:t>按下列方法确定为：</w:t>
      </w:r>
    </w:p>
    <w:p>
      <w:pPr>
        <w:snapToGrid w:val="0"/>
        <w:spacing w:line="360" w:lineRule="auto"/>
        <w:ind w:firstLine="640" w:firstLineChars="200"/>
        <w:rPr>
          <w:rFonts w:hint="eastAsia" w:ascii="仿宋_GB2312" w:eastAsia="仿宋_GB2312"/>
          <w:sz w:val="32"/>
          <w:szCs w:val="32"/>
          <w:highlight w:val="none"/>
        </w:rPr>
      </w:pPr>
      <w:r>
        <w:rPr>
          <w:rFonts w:hint="eastAsia" w:ascii="仿宋_GB2312" w:hAnsi="宋体" w:eastAsia="仿宋_GB2312"/>
          <w:sz w:val="32"/>
          <w:szCs w:val="32"/>
          <w:highlight w:val="none"/>
        </w:rPr>
        <w:t>奖励金额＝工程投资节省额×</w:t>
      </w:r>
      <w:r>
        <w:rPr>
          <w:rFonts w:hint="eastAsia" w:ascii="仿宋_GB2312" w:eastAsia="仿宋_GB2312"/>
          <w:sz w:val="32"/>
          <w:szCs w:val="32"/>
          <w:highlight w:val="none"/>
        </w:rPr>
        <w:t>奖励金额的比率</w:t>
      </w:r>
      <w:r>
        <w:rPr>
          <w:rFonts w:hint="eastAsia" w:ascii="仿宋_GB2312" w:hAnsi="宋体" w:eastAsia="仿宋_GB2312"/>
          <w:sz w:val="32"/>
          <w:szCs w:val="32"/>
          <w:highlight w:val="none"/>
        </w:rPr>
        <w:t>；</w:t>
      </w:r>
    </w:p>
    <w:p>
      <w:pPr>
        <w:snapToGrid w:val="0"/>
        <w:spacing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奖励金额的比率为</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w:t>
      </w:r>
    </w:p>
    <w:p>
      <w:pPr>
        <w:adjustRightInd w:val="0"/>
        <w:snapToGrid w:val="0"/>
        <w:spacing w:line="360" w:lineRule="auto"/>
        <w:ind w:firstLine="313" w:firstLineChars="98"/>
        <w:rPr>
          <w:rFonts w:hint="eastAsia" w:ascii="仿宋_GB2312" w:eastAsia="仿宋_GB2312"/>
          <w:sz w:val="32"/>
          <w:szCs w:val="32"/>
          <w:highlight w:val="none"/>
        </w:rPr>
      </w:pPr>
      <w:r>
        <w:rPr>
          <w:rFonts w:hint="eastAsia" w:ascii="仿宋_GB2312" w:eastAsia="仿宋_GB2312"/>
          <w:sz w:val="32"/>
          <w:szCs w:val="32"/>
          <w:highlight w:val="none"/>
        </w:rPr>
        <w:t xml:space="preserve">8.6 </w:t>
      </w:r>
      <w:r>
        <w:rPr>
          <w:rFonts w:hint="eastAsia" w:ascii="仿宋_GB2312" w:hAnsi="宋体" w:eastAsia="仿宋_GB2312"/>
          <w:sz w:val="32"/>
          <w:szCs w:val="32"/>
          <w:highlight w:val="none"/>
        </w:rPr>
        <w:t>保密</w:t>
      </w:r>
    </w:p>
    <w:p>
      <w:pPr>
        <w:adjustRightInd w:val="0"/>
        <w:snapToGrid w:val="0"/>
        <w:spacing w:line="360" w:lineRule="auto"/>
        <w:ind w:firstLine="640" w:firstLineChars="200"/>
        <w:rPr>
          <w:rFonts w:hint="eastAsia" w:ascii="仿宋_GB2312" w:hAnsi="宋体" w:eastAsia="仿宋_GB2312"/>
          <w:sz w:val="24"/>
          <w:highlight w:val="none"/>
          <w:u w:val="single"/>
        </w:rPr>
      </w:pPr>
      <w:r>
        <w:rPr>
          <w:rFonts w:hint="eastAsia" w:ascii="仿宋_GB2312" w:hAnsi="宋体" w:eastAsia="仿宋_GB2312"/>
          <w:sz w:val="32"/>
          <w:szCs w:val="32"/>
          <w:highlight w:val="none"/>
        </w:rPr>
        <w:t>委托人申明的保密事项和期限：</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w:t>
      </w:r>
    </w:p>
    <w:p>
      <w:pPr>
        <w:adjustRightInd w:val="0"/>
        <w:snapToGrid w:val="0"/>
        <w:spacing w:line="360" w:lineRule="auto"/>
        <w:ind w:firstLine="640" w:firstLineChars="200"/>
        <w:rPr>
          <w:rFonts w:hint="eastAsia" w:ascii="仿宋_GB2312" w:hAnsi="宋体" w:eastAsia="仿宋_GB2312"/>
          <w:sz w:val="24"/>
          <w:highlight w:val="none"/>
          <w:u w:val="single"/>
        </w:rPr>
      </w:pPr>
      <w:r>
        <w:rPr>
          <w:rFonts w:hint="eastAsia" w:ascii="仿宋_GB2312" w:hAnsi="宋体" w:eastAsia="仿宋_GB2312"/>
          <w:sz w:val="32"/>
          <w:szCs w:val="32"/>
          <w:highlight w:val="none"/>
        </w:rPr>
        <w:t>监理人申明的保密事项和期限：</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w:t>
      </w:r>
    </w:p>
    <w:p>
      <w:pPr>
        <w:adjustRightInd w:val="0"/>
        <w:snapToGrid w:val="0"/>
        <w:spacing w:line="360" w:lineRule="auto"/>
        <w:ind w:firstLine="640" w:firstLineChars="200"/>
        <w:rPr>
          <w:rFonts w:hint="eastAsia" w:ascii="仿宋_GB2312" w:hAnsi="宋体" w:eastAsia="仿宋_GB2312"/>
          <w:sz w:val="24"/>
          <w:highlight w:val="none"/>
          <w:u w:val="single"/>
        </w:rPr>
      </w:pPr>
      <w:r>
        <w:rPr>
          <w:rFonts w:hint="eastAsia" w:ascii="仿宋_GB2312" w:hAnsi="宋体" w:eastAsia="仿宋_GB2312"/>
          <w:sz w:val="32"/>
          <w:szCs w:val="32"/>
          <w:highlight w:val="none"/>
        </w:rPr>
        <w:t>第三方申明的保密事项和期限：</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w:t>
      </w:r>
    </w:p>
    <w:p>
      <w:pPr>
        <w:snapToGrid w:val="0"/>
        <w:spacing w:line="360" w:lineRule="auto"/>
        <w:ind w:firstLine="313" w:firstLineChars="98"/>
        <w:rPr>
          <w:rFonts w:hint="eastAsia" w:ascii="仿宋_GB2312" w:hAnsi="宋体" w:eastAsia="仿宋_GB2312"/>
          <w:bCs/>
          <w:sz w:val="32"/>
          <w:szCs w:val="32"/>
          <w:highlight w:val="none"/>
        </w:rPr>
      </w:pPr>
      <w:r>
        <w:rPr>
          <w:rFonts w:hint="eastAsia" w:ascii="仿宋_GB2312" w:eastAsia="仿宋_GB2312"/>
          <w:sz w:val="32"/>
          <w:szCs w:val="32"/>
          <w:highlight w:val="none"/>
        </w:rPr>
        <w:t>8.8</w:t>
      </w:r>
      <w:r>
        <w:rPr>
          <w:rFonts w:hint="eastAsia" w:ascii="仿宋_GB2312" w:hAnsi="宋体" w:eastAsia="仿宋_GB2312"/>
          <w:bCs/>
          <w:sz w:val="32"/>
          <w:szCs w:val="32"/>
          <w:highlight w:val="none"/>
        </w:rPr>
        <w:t>著作权</w:t>
      </w:r>
    </w:p>
    <w:p>
      <w:pPr>
        <w:snapToGrid w:val="0"/>
        <w:spacing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监理人在本合同履行期间及本合同终止后两年内出版涉及本工程的有关监理与相关服务的资料的限制条件：</w:t>
      </w:r>
    </w:p>
    <w:p>
      <w:pPr>
        <w:adjustRightInd w:val="0"/>
        <w:snapToGrid w:val="0"/>
        <w:spacing w:before="156" w:beforeLines="50" w:after="156" w:afterLines="50" w:line="360" w:lineRule="auto"/>
        <w:rPr>
          <w:rFonts w:hint="eastAsia" w:ascii="仿宋_GB2312" w:hAnsi="宋体" w:eastAsia="仿宋_GB2312"/>
          <w:sz w:val="32"/>
          <w:szCs w:val="32"/>
          <w:highlight w:val="none"/>
          <w:u w:val="single"/>
        </w:rPr>
      </w:pPr>
      <w:r>
        <w:rPr>
          <w:rFonts w:hint="eastAsia" w:ascii="仿宋_GB2312" w:hAnsi="宋体" w:eastAsia="仿宋_GB2312"/>
          <w:sz w:val="32"/>
          <w:szCs w:val="32"/>
          <w:highlight w:val="none"/>
          <w:u w:val="single"/>
        </w:rPr>
        <w:t xml:space="preserve">                                                     </w:t>
      </w:r>
    </w:p>
    <w:p>
      <w:pPr>
        <w:adjustRightInd w:val="0"/>
        <w:snapToGrid w:val="0"/>
        <w:spacing w:before="156" w:beforeLines="50" w:after="156" w:afterLines="50" w:line="360" w:lineRule="auto"/>
        <w:rPr>
          <w:rFonts w:hint="eastAsia" w:ascii="仿宋_GB2312" w:hAnsi="宋体" w:eastAsia="仿宋_GB2312"/>
          <w:sz w:val="24"/>
          <w:highlight w:val="none"/>
        </w:rPr>
      </w:pPr>
      <w:r>
        <w:rPr>
          <w:rFonts w:hint="eastAsia" w:ascii="仿宋_GB2312" w:hAnsi="宋体" w:eastAsia="仿宋_GB2312"/>
          <w:sz w:val="32"/>
          <w:szCs w:val="32"/>
          <w:highlight w:val="none"/>
          <w:u w:val="single"/>
        </w:rPr>
        <w:t xml:space="preserve">                                                   </w:t>
      </w:r>
      <w:r>
        <w:rPr>
          <w:rFonts w:hint="eastAsia" w:ascii="仿宋_GB2312" w:hAnsi="宋体" w:eastAsia="仿宋_GB2312"/>
          <w:sz w:val="24"/>
          <w:highlight w:val="none"/>
        </w:rPr>
        <w:t>。</w:t>
      </w:r>
    </w:p>
    <w:p>
      <w:pPr>
        <w:adjustRightInd w:val="0"/>
        <w:snapToGrid w:val="0"/>
        <w:spacing w:before="156" w:beforeLines="50" w:after="156" w:afterLines="50" w:line="360" w:lineRule="auto"/>
        <w:ind w:firstLine="320" w:firstLineChars="100"/>
        <w:rPr>
          <w:rFonts w:hint="eastAsia" w:ascii="仿宋_GB2312" w:eastAsia="仿宋_GB2312"/>
          <w:sz w:val="32"/>
          <w:szCs w:val="32"/>
          <w:highlight w:val="none"/>
        </w:rPr>
      </w:pPr>
      <w:r>
        <w:rPr>
          <w:rFonts w:hint="eastAsia" w:ascii="仿宋_GB2312" w:eastAsia="仿宋_GB2312"/>
          <w:sz w:val="32"/>
          <w:szCs w:val="32"/>
          <w:highlight w:val="none"/>
        </w:rPr>
        <w:t xml:space="preserve">9. </w:t>
      </w:r>
      <w:r>
        <w:rPr>
          <w:rFonts w:hint="eastAsia" w:ascii="仿宋_GB2312" w:hAnsi="黑体" w:eastAsia="仿宋_GB2312"/>
          <w:sz w:val="32"/>
          <w:szCs w:val="32"/>
          <w:highlight w:val="none"/>
        </w:rPr>
        <w:t>补充条款</w:t>
      </w:r>
    </w:p>
    <w:p>
      <w:pPr>
        <w:adjustRightInd w:val="0"/>
        <w:snapToGrid w:val="0"/>
        <w:spacing w:before="156" w:beforeLines="50" w:after="156" w:afterLines="50" w:line="360" w:lineRule="auto"/>
        <w:rPr>
          <w:rFonts w:hint="eastAsia" w:ascii="仿宋_GB2312" w:hAnsi="宋体" w:eastAsia="仿宋_GB2312"/>
          <w:sz w:val="32"/>
          <w:szCs w:val="32"/>
          <w:highlight w:val="none"/>
          <w:u w:val="single"/>
        </w:rPr>
      </w:pPr>
      <w:r>
        <w:rPr>
          <w:rFonts w:hint="eastAsia" w:ascii="仿宋_GB2312" w:hAnsi="宋体" w:eastAsia="仿宋_GB2312"/>
          <w:sz w:val="32"/>
          <w:szCs w:val="32"/>
          <w:highlight w:val="none"/>
          <w:u w:val="single"/>
        </w:rPr>
        <w:t xml:space="preserve">                                                     </w:t>
      </w:r>
    </w:p>
    <w:p>
      <w:pPr>
        <w:adjustRightInd w:val="0"/>
        <w:snapToGrid w:val="0"/>
        <w:spacing w:before="156" w:beforeLines="50" w:after="156" w:afterLines="50" w:line="360" w:lineRule="auto"/>
        <w:rPr>
          <w:rFonts w:hint="eastAsia" w:ascii="仿宋_GB2312" w:hAnsi="宋体" w:eastAsia="仿宋_GB2312"/>
          <w:sz w:val="24"/>
          <w:highlight w:val="none"/>
        </w:rPr>
      </w:pPr>
      <w:r>
        <w:rPr>
          <w:rFonts w:hint="eastAsia" w:ascii="仿宋_GB2312" w:hAnsi="宋体" w:eastAsia="仿宋_GB2312"/>
          <w:sz w:val="32"/>
          <w:szCs w:val="32"/>
          <w:highlight w:val="none"/>
          <w:u w:val="single"/>
        </w:rPr>
        <w:t xml:space="preserve">                                                   </w:t>
      </w:r>
      <w:r>
        <w:rPr>
          <w:rFonts w:hint="eastAsia" w:ascii="仿宋_GB2312" w:hAnsi="宋体" w:eastAsia="仿宋_GB2312"/>
          <w:sz w:val="24"/>
          <w:highlight w:val="none"/>
        </w:rPr>
        <w:t>。</w:t>
      </w:r>
    </w:p>
    <w:p>
      <w:pPr>
        <w:pageBreakBefore/>
        <w:spacing w:line="360" w:lineRule="auto"/>
        <w:jc w:val="center"/>
        <w:rPr>
          <w:rFonts w:hint="eastAsia" w:ascii="仿宋_GB2312" w:eastAsia="仿宋_GB2312"/>
          <w:b/>
          <w:bCs/>
          <w:sz w:val="32"/>
          <w:szCs w:val="32"/>
          <w:highlight w:val="none"/>
        </w:rPr>
      </w:pPr>
      <w:r>
        <w:rPr>
          <w:rFonts w:hint="eastAsia" w:ascii="仿宋_GB2312" w:hAnsi="宋体" w:eastAsia="仿宋_GB2312"/>
          <w:b/>
          <w:bCs/>
          <w:sz w:val="32"/>
          <w:szCs w:val="32"/>
          <w:highlight w:val="none"/>
        </w:rPr>
        <w:t>附录</w:t>
      </w:r>
      <w:r>
        <w:rPr>
          <w:rFonts w:hint="eastAsia" w:ascii="仿宋_GB2312" w:eastAsia="仿宋_GB2312"/>
          <w:b/>
          <w:bCs/>
          <w:sz w:val="32"/>
          <w:szCs w:val="32"/>
          <w:highlight w:val="none"/>
        </w:rPr>
        <w:t xml:space="preserve">A  </w:t>
      </w:r>
      <w:r>
        <w:rPr>
          <w:rFonts w:hint="eastAsia" w:ascii="仿宋_GB2312" w:hAnsi="宋体" w:eastAsia="仿宋_GB2312"/>
          <w:b/>
          <w:bCs/>
          <w:sz w:val="32"/>
          <w:szCs w:val="32"/>
          <w:highlight w:val="none"/>
        </w:rPr>
        <w:t>相关服务的范围和内容</w:t>
      </w:r>
    </w:p>
    <w:p>
      <w:pPr>
        <w:snapToGrid w:val="0"/>
        <w:spacing w:before="156" w:beforeLines="50" w:after="156" w:afterLines="50" w:line="360" w:lineRule="auto"/>
        <w:ind w:firstLine="1280" w:firstLineChars="400"/>
        <w:rPr>
          <w:rFonts w:hint="eastAsia" w:ascii="仿宋_GB2312" w:eastAsia="仿宋_GB2312"/>
          <w:kern w:val="0"/>
          <w:sz w:val="32"/>
          <w:szCs w:val="32"/>
          <w:highlight w:val="none"/>
        </w:rPr>
      </w:pPr>
      <w:r>
        <w:rPr>
          <w:rFonts w:hint="eastAsia" w:ascii="仿宋_GB2312" w:eastAsia="仿宋_GB2312"/>
          <w:kern w:val="0"/>
          <w:sz w:val="32"/>
          <w:szCs w:val="32"/>
          <w:highlight w:val="none"/>
        </w:rPr>
        <w:t xml:space="preserve">A-1 </w:t>
      </w:r>
      <w:r>
        <w:rPr>
          <w:rFonts w:hint="eastAsia" w:ascii="仿宋_GB2312" w:hAnsi="宋体" w:eastAsia="仿宋_GB2312"/>
          <w:kern w:val="0"/>
          <w:sz w:val="32"/>
          <w:szCs w:val="32"/>
          <w:highlight w:val="none"/>
        </w:rPr>
        <w:t>勘察阶段：</w:t>
      </w:r>
      <w:r>
        <w:rPr>
          <w:rFonts w:hint="eastAsia" w:ascii="仿宋_GB2312" w:eastAsia="仿宋_GB2312"/>
          <w:sz w:val="32"/>
          <w:szCs w:val="32"/>
          <w:highlight w:val="none"/>
          <w:u w:val="single"/>
        </w:rPr>
        <w:t xml:space="preserve">                                        </w:t>
      </w:r>
    </w:p>
    <w:p>
      <w:pPr>
        <w:snapToGrid w:val="0"/>
        <w:spacing w:before="156" w:beforeLines="50" w:after="156" w:afterLines="50" w:line="360" w:lineRule="auto"/>
        <w:ind w:firstLine="640" w:firstLineChars="200"/>
        <w:rPr>
          <w:rFonts w:hint="eastAsia" w:ascii="仿宋_GB2312" w:eastAsia="仿宋_GB2312"/>
          <w:sz w:val="32"/>
          <w:szCs w:val="32"/>
          <w:highlight w:val="none"/>
        </w:rPr>
      </w:pPr>
      <w:r>
        <w:rPr>
          <w:rFonts w:hint="eastAsia" w:ascii="仿宋_GB2312" w:eastAsia="仿宋_GB2312"/>
          <w:kern w:val="0"/>
          <w:sz w:val="32"/>
          <w:szCs w:val="32"/>
          <w:highlight w:val="none"/>
          <w:u w:val="single"/>
        </w:rPr>
        <w:t xml:space="preserve">                                              </w:t>
      </w:r>
      <w:r>
        <w:rPr>
          <w:rFonts w:hint="eastAsia" w:ascii="仿宋_GB2312" w:hAnsi="宋体" w:eastAsia="仿宋_GB2312"/>
          <w:kern w:val="0"/>
          <w:sz w:val="32"/>
          <w:szCs w:val="32"/>
          <w:highlight w:val="none"/>
        </w:rPr>
        <w:t>。</w:t>
      </w:r>
    </w:p>
    <w:p>
      <w:pPr>
        <w:snapToGrid w:val="0"/>
        <w:spacing w:before="156" w:beforeLines="50" w:after="156" w:afterLines="50" w:line="360" w:lineRule="auto"/>
        <w:ind w:firstLine="1280" w:firstLineChars="400"/>
        <w:rPr>
          <w:rFonts w:hint="eastAsia" w:ascii="仿宋_GB2312" w:eastAsia="仿宋_GB2312"/>
          <w:kern w:val="0"/>
          <w:sz w:val="32"/>
          <w:szCs w:val="32"/>
          <w:highlight w:val="none"/>
        </w:rPr>
      </w:pPr>
      <w:r>
        <w:rPr>
          <w:rFonts w:hint="eastAsia" w:ascii="仿宋_GB2312" w:eastAsia="仿宋_GB2312"/>
          <w:kern w:val="0"/>
          <w:sz w:val="32"/>
          <w:szCs w:val="32"/>
          <w:highlight w:val="none"/>
        </w:rPr>
        <w:t xml:space="preserve">A-2 </w:t>
      </w:r>
      <w:r>
        <w:rPr>
          <w:rFonts w:hint="eastAsia" w:ascii="仿宋_GB2312" w:hAnsi="宋体" w:eastAsia="仿宋_GB2312"/>
          <w:kern w:val="0"/>
          <w:sz w:val="32"/>
          <w:szCs w:val="32"/>
          <w:highlight w:val="none"/>
        </w:rPr>
        <w:t>设计阶段：</w:t>
      </w:r>
      <w:r>
        <w:rPr>
          <w:rFonts w:hint="eastAsia" w:ascii="仿宋_GB2312" w:eastAsia="仿宋_GB2312"/>
          <w:sz w:val="32"/>
          <w:szCs w:val="32"/>
          <w:highlight w:val="none"/>
          <w:u w:val="single"/>
        </w:rPr>
        <w:t xml:space="preserve">                                </w:t>
      </w:r>
    </w:p>
    <w:p>
      <w:pPr>
        <w:snapToGrid w:val="0"/>
        <w:spacing w:before="156" w:beforeLines="50" w:after="156" w:afterLines="50"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w:t>
      </w:r>
    </w:p>
    <w:p>
      <w:pPr>
        <w:snapToGrid w:val="0"/>
        <w:spacing w:before="156" w:beforeLines="50" w:after="156" w:afterLines="50" w:line="360" w:lineRule="auto"/>
        <w:ind w:firstLine="1280" w:firstLineChars="400"/>
        <w:rPr>
          <w:rFonts w:hint="eastAsia" w:ascii="仿宋_GB2312" w:eastAsia="仿宋_GB2312"/>
          <w:kern w:val="0"/>
          <w:sz w:val="32"/>
          <w:szCs w:val="32"/>
          <w:highlight w:val="none"/>
        </w:rPr>
      </w:pPr>
      <w:r>
        <w:rPr>
          <w:rFonts w:hint="eastAsia" w:ascii="仿宋_GB2312" w:eastAsia="仿宋_GB2312"/>
          <w:kern w:val="0"/>
          <w:sz w:val="32"/>
          <w:szCs w:val="32"/>
          <w:highlight w:val="none"/>
        </w:rPr>
        <w:t xml:space="preserve">A-3 </w:t>
      </w:r>
      <w:r>
        <w:rPr>
          <w:rFonts w:hint="eastAsia" w:ascii="仿宋_GB2312" w:hAnsi="宋体" w:eastAsia="仿宋_GB2312"/>
          <w:kern w:val="0"/>
          <w:sz w:val="32"/>
          <w:szCs w:val="32"/>
          <w:highlight w:val="none"/>
        </w:rPr>
        <w:t>保修阶段：</w:t>
      </w:r>
      <w:r>
        <w:rPr>
          <w:rFonts w:hint="eastAsia" w:ascii="仿宋_GB2312" w:eastAsia="仿宋_GB2312"/>
          <w:sz w:val="24"/>
          <w:highlight w:val="none"/>
          <w:u w:val="single"/>
        </w:rPr>
        <w:t xml:space="preserve">                                        </w:t>
      </w:r>
      <w:r>
        <w:rPr>
          <w:rFonts w:hint="eastAsia" w:ascii="仿宋_GB2312" w:eastAsia="仿宋_GB2312"/>
          <w:sz w:val="32"/>
          <w:szCs w:val="32"/>
          <w:highlight w:val="none"/>
          <w:u w:val="single"/>
        </w:rPr>
        <w:t xml:space="preserve">              </w:t>
      </w:r>
    </w:p>
    <w:p>
      <w:pPr>
        <w:snapToGrid w:val="0"/>
        <w:spacing w:before="156" w:beforeLines="50" w:after="156" w:afterLines="50" w:line="360" w:lineRule="auto"/>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u w:val="single"/>
        </w:rPr>
        <w:t xml:space="preserve">                                              </w:t>
      </w:r>
      <w:r>
        <w:rPr>
          <w:rFonts w:hint="eastAsia" w:ascii="仿宋_GB2312" w:hAnsi="宋体" w:eastAsia="仿宋_GB2312"/>
          <w:sz w:val="32"/>
          <w:szCs w:val="32"/>
          <w:highlight w:val="none"/>
        </w:rPr>
        <w:t>。</w:t>
      </w:r>
    </w:p>
    <w:p>
      <w:pPr>
        <w:snapToGrid w:val="0"/>
        <w:spacing w:before="156" w:beforeLines="50" w:after="156" w:afterLines="50" w:line="360" w:lineRule="auto"/>
        <w:ind w:firstLine="1280" w:firstLineChars="400"/>
        <w:rPr>
          <w:rFonts w:hint="eastAsia" w:ascii="仿宋_GB2312" w:eastAsia="仿宋_GB2312"/>
          <w:sz w:val="32"/>
          <w:szCs w:val="32"/>
          <w:highlight w:val="none"/>
          <w:u w:val="single"/>
        </w:rPr>
      </w:pPr>
      <w:r>
        <w:rPr>
          <w:rFonts w:hint="eastAsia" w:ascii="仿宋_GB2312" w:eastAsia="仿宋_GB2312"/>
          <w:kern w:val="0"/>
          <w:sz w:val="32"/>
          <w:szCs w:val="32"/>
          <w:highlight w:val="none"/>
        </w:rPr>
        <w:t xml:space="preserve">A-4 </w:t>
      </w:r>
      <w:r>
        <w:rPr>
          <w:rFonts w:hint="eastAsia" w:ascii="仿宋_GB2312" w:hAnsi="宋体" w:eastAsia="仿宋_GB2312"/>
          <w:sz w:val="32"/>
          <w:szCs w:val="32"/>
          <w:highlight w:val="none"/>
        </w:rPr>
        <w:t>其他（专业技术咨询、外部协调工作等）：</w:t>
      </w:r>
      <w:r>
        <w:rPr>
          <w:rFonts w:hint="eastAsia" w:ascii="仿宋_GB2312" w:eastAsia="仿宋_GB2312"/>
          <w:sz w:val="32"/>
          <w:szCs w:val="32"/>
          <w:highlight w:val="none"/>
          <w:u w:val="single"/>
        </w:rPr>
        <w:t xml:space="preserve">   </w:t>
      </w:r>
    </w:p>
    <w:p>
      <w:pPr>
        <w:snapToGrid w:val="0"/>
        <w:spacing w:before="156" w:beforeLines="50" w:after="156" w:afterLines="50" w:line="360" w:lineRule="auto"/>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u w:val="single"/>
        </w:rPr>
        <w:t xml:space="preserve">                                              </w:t>
      </w:r>
      <w:r>
        <w:rPr>
          <w:rFonts w:hint="eastAsia" w:ascii="仿宋_GB2312" w:hAnsi="宋体" w:eastAsia="仿宋_GB2312"/>
          <w:sz w:val="32"/>
          <w:szCs w:val="32"/>
          <w:highlight w:val="none"/>
        </w:rPr>
        <w:t>。</w:t>
      </w:r>
    </w:p>
    <w:p>
      <w:pPr>
        <w:snapToGrid w:val="0"/>
        <w:spacing w:before="156" w:beforeLines="50" w:after="156" w:afterLines="50" w:line="360" w:lineRule="auto"/>
        <w:ind w:firstLine="640" w:firstLineChars="200"/>
        <w:rPr>
          <w:rFonts w:hint="eastAsia" w:ascii="仿宋_GB2312" w:hAnsi="宋体" w:eastAsia="仿宋_GB2312"/>
          <w:sz w:val="32"/>
          <w:szCs w:val="32"/>
          <w:highlight w:val="none"/>
        </w:rPr>
      </w:pPr>
    </w:p>
    <w:p>
      <w:pPr>
        <w:spacing w:line="360" w:lineRule="auto"/>
        <w:rPr>
          <w:rFonts w:hint="eastAsia" w:ascii="仿宋_GB2312" w:hAnsi="宋体" w:eastAsia="仿宋_GB2312"/>
          <w:bCs/>
          <w:sz w:val="30"/>
          <w:szCs w:val="30"/>
          <w:highlight w:val="none"/>
        </w:rPr>
      </w:pPr>
    </w:p>
    <w:p>
      <w:pPr>
        <w:pageBreakBefore/>
        <w:spacing w:line="360" w:lineRule="auto"/>
        <w:jc w:val="center"/>
        <w:rPr>
          <w:rFonts w:hint="eastAsia" w:ascii="仿宋_GB2312" w:eastAsia="仿宋_GB2312"/>
          <w:b/>
          <w:bCs/>
          <w:sz w:val="32"/>
          <w:szCs w:val="32"/>
          <w:highlight w:val="none"/>
        </w:rPr>
      </w:pPr>
      <w:r>
        <w:rPr>
          <w:rFonts w:hint="eastAsia" w:ascii="仿宋_GB2312" w:hAnsi="宋体" w:eastAsia="仿宋_GB2312"/>
          <w:b/>
          <w:bCs/>
          <w:sz w:val="32"/>
          <w:szCs w:val="32"/>
          <w:highlight w:val="none"/>
        </w:rPr>
        <w:t>附录</w:t>
      </w:r>
      <w:r>
        <w:rPr>
          <w:rFonts w:hint="eastAsia" w:ascii="仿宋_GB2312" w:eastAsia="仿宋_GB2312"/>
          <w:b/>
          <w:bCs/>
          <w:sz w:val="32"/>
          <w:szCs w:val="32"/>
          <w:highlight w:val="none"/>
        </w:rPr>
        <w:t xml:space="preserve">B  </w:t>
      </w:r>
      <w:r>
        <w:rPr>
          <w:rFonts w:hint="eastAsia" w:ascii="仿宋_GB2312" w:hAnsi="宋体" w:eastAsia="仿宋_GB2312"/>
          <w:b/>
          <w:bCs/>
          <w:sz w:val="32"/>
          <w:szCs w:val="32"/>
          <w:highlight w:val="none"/>
        </w:rPr>
        <w:t>委托人派遣的人员和提供的房屋、资料、设备</w:t>
      </w:r>
    </w:p>
    <w:p>
      <w:pPr>
        <w:spacing w:before="156" w:beforeLines="50" w:line="360" w:lineRule="auto"/>
        <w:rPr>
          <w:rFonts w:hint="eastAsia" w:ascii="仿宋_GB2312" w:eastAsia="仿宋_GB2312"/>
          <w:b/>
          <w:kern w:val="0"/>
          <w:sz w:val="32"/>
          <w:szCs w:val="32"/>
          <w:highlight w:val="none"/>
        </w:rPr>
      </w:pPr>
      <w:r>
        <w:rPr>
          <w:rFonts w:hint="eastAsia" w:ascii="仿宋_GB2312" w:eastAsia="仿宋_GB2312"/>
          <w:b/>
          <w:kern w:val="0"/>
          <w:sz w:val="32"/>
          <w:szCs w:val="32"/>
          <w:highlight w:val="none"/>
        </w:rPr>
        <w:t xml:space="preserve">B-1  </w:t>
      </w:r>
      <w:r>
        <w:rPr>
          <w:rFonts w:hint="eastAsia" w:ascii="仿宋_GB2312" w:hAnsi="宋体" w:eastAsia="仿宋_GB2312"/>
          <w:b/>
          <w:kern w:val="0"/>
          <w:sz w:val="32"/>
          <w:szCs w:val="32"/>
          <w:highlight w:val="none"/>
        </w:rPr>
        <w:t>委托人派遣的人员</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jc w:val="center"/>
              <w:rPr>
                <w:rFonts w:hint="eastAsia" w:ascii="仿宋_GB2312" w:eastAsia="仿宋_GB2312"/>
                <w:sz w:val="32"/>
                <w:szCs w:val="32"/>
                <w:highlight w:val="none"/>
              </w:rPr>
            </w:pPr>
            <w:r>
              <w:rPr>
                <w:rFonts w:hint="eastAsia" w:ascii="仿宋_GB2312" w:hAnsi="宋体" w:eastAsia="仿宋_GB2312"/>
                <w:sz w:val="32"/>
                <w:szCs w:val="32"/>
                <w:highlight w:val="none"/>
              </w:rPr>
              <w:t>名称</w:t>
            </w:r>
          </w:p>
        </w:tc>
        <w:tc>
          <w:tcPr>
            <w:tcW w:w="1770" w:type="dxa"/>
            <w:noWrap w:val="0"/>
            <w:vAlign w:val="top"/>
          </w:tcPr>
          <w:p>
            <w:pPr>
              <w:spacing w:line="360" w:lineRule="auto"/>
              <w:jc w:val="center"/>
              <w:rPr>
                <w:rFonts w:hint="eastAsia" w:ascii="仿宋_GB2312" w:eastAsia="仿宋_GB2312"/>
                <w:sz w:val="32"/>
                <w:szCs w:val="32"/>
                <w:highlight w:val="none"/>
              </w:rPr>
            </w:pPr>
            <w:r>
              <w:rPr>
                <w:rFonts w:hint="eastAsia" w:ascii="仿宋_GB2312" w:hAnsi="宋体" w:eastAsia="仿宋_GB2312"/>
                <w:sz w:val="32"/>
                <w:szCs w:val="32"/>
                <w:highlight w:val="none"/>
              </w:rPr>
              <w:t>数量</w:t>
            </w:r>
          </w:p>
        </w:tc>
        <w:tc>
          <w:tcPr>
            <w:tcW w:w="2130" w:type="dxa"/>
            <w:noWrap w:val="0"/>
            <w:vAlign w:val="top"/>
          </w:tcPr>
          <w:p>
            <w:pPr>
              <w:spacing w:line="360" w:lineRule="auto"/>
              <w:jc w:val="center"/>
              <w:rPr>
                <w:rFonts w:hint="eastAsia" w:ascii="仿宋_GB2312" w:eastAsia="仿宋_GB2312"/>
                <w:sz w:val="32"/>
                <w:szCs w:val="32"/>
                <w:highlight w:val="none"/>
              </w:rPr>
            </w:pPr>
            <w:r>
              <w:rPr>
                <w:rFonts w:hint="eastAsia" w:ascii="仿宋_GB2312" w:hAnsi="宋体" w:eastAsia="仿宋_GB2312"/>
                <w:sz w:val="32"/>
                <w:szCs w:val="32"/>
                <w:highlight w:val="none"/>
              </w:rPr>
              <w:t>工作要求</w:t>
            </w:r>
          </w:p>
        </w:tc>
        <w:tc>
          <w:tcPr>
            <w:tcW w:w="1860" w:type="dxa"/>
            <w:noWrap w:val="0"/>
            <w:vAlign w:val="top"/>
          </w:tcPr>
          <w:p>
            <w:pPr>
              <w:spacing w:line="360" w:lineRule="auto"/>
              <w:jc w:val="center"/>
              <w:rPr>
                <w:rFonts w:hint="eastAsia" w:ascii="仿宋_GB2312" w:eastAsia="仿宋_GB2312"/>
                <w:sz w:val="32"/>
                <w:szCs w:val="32"/>
                <w:highlight w:val="none"/>
              </w:rPr>
            </w:pPr>
            <w:r>
              <w:rPr>
                <w:rFonts w:hint="eastAsia" w:ascii="仿宋_GB2312" w:hAnsi="宋体" w:eastAsia="仿宋_GB2312"/>
                <w:sz w:val="32"/>
                <w:szCs w:val="32"/>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rPr>
                <w:rFonts w:hint="eastAsia" w:ascii="仿宋_GB2312" w:eastAsia="仿宋_GB2312"/>
                <w:sz w:val="32"/>
                <w:szCs w:val="32"/>
                <w:highlight w:val="none"/>
              </w:rPr>
            </w:pPr>
            <w:r>
              <w:rPr>
                <w:rFonts w:hint="eastAsia" w:ascii="仿宋_GB2312" w:eastAsia="仿宋_GB2312"/>
                <w:sz w:val="32"/>
                <w:szCs w:val="32"/>
                <w:highlight w:val="none"/>
              </w:rPr>
              <w:t xml:space="preserve">1. </w:t>
            </w:r>
            <w:r>
              <w:rPr>
                <w:rFonts w:hint="eastAsia" w:ascii="仿宋_GB2312" w:hAnsi="宋体" w:eastAsia="仿宋_GB2312"/>
                <w:sz w:val="32"/>
                <w:szCs w:val="32"/>
                <w:highlight w:val="none"/>
              </w:rPr>
              <w:t>工程技术人员</w:t>
            </w:r>
            <w:r>
              <w:rPr>
                <w:rFonts w:hint="eastAsia" w:ascii="仿宋_GB2312" w:eastAsia="仿宋_GB2312"/>
                <w:sz w:val="32"/>
                <w:szCs w:val="32"/>
                <w:highlight w:val="none"/>
              </w:rPr>
              <w:t xml:space="preserve"> </w:t>
            </w:r>
          </w:p>
        </w:tc>
        <w:tc>
          <w:tcPr>
            <w:tcW w:w="1770" w:type="dxa"/>
            <w:noWrap w:val="0"/>
            <w:vAlign w:val="top"/>
          </w:tcPr>
          <w:p>
            <w:pPr>
              <w:spacing w:line="360" w:lineRule="auto"/>
              <w:rPr>
                <w:rFonts w:hint="eastAsia" w:ascii="仿宋_GB2312" w:eastAsia="仿宋_GB2312"/>
                <w:sz w:val="32"/>
                <w:szCs w:val="32"/>
                <w:highlight w:val="none"/>
              </w:rPr>
            </w:pPr>
          </w:p>
        </w:tc>
        <w:tc>
          <w:tcPr>
            <w:tcW w:w="2130" w:type="dxa"/>
            <w:noWrap w:val="0"/>
            <w:vAlign w:val="top"/>
          </w:tcPr>
          <w:p>
            <w:pPr>
              <w:spacing w:line="360" w:lineRule="auto"/>
              <w:rPr>
                <w:rFonts w:hint="eastAsia" w:ascii="仿宋_GB2312" w:eastAsia="仿宋_GB2312"/>
                <w:sz w:val="32"/>
                <w:szCs w:val="32"/>
                <w:highlight w:val="none"/>
              </w:rPr>
            </w:pPr>
          </w:p>
        </w:tc>
        <w:tc>
          <w:tcPr>
            <w:tcW w:w="1860" w:type="dxa"/>
            <w:noWrap w:val="0"/>
            <w:vAlign w:val="top"/>
          </w:tcPr>
          <w:p>
            <w:pPr>
              <w:spacing w:line="360" w:lineRule="auto"/>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rPr>
                <w:rFonts w:hint="eastAsia" w:ascii="仿宋_GB2312" w:eastAsia="仿宋_GB2312"/>
                <w:sz w:val="32"/>
                <w:szCs w:val="32"/>
                <w:highlight w:val="none"/>
              </w:rPr>
            </w:pPr>
            <w:r>
              <w:rPr>
                <w:rFonts w:hint="eastAsia" w:ascii="仿宋_GB2312" w:eastAsia="仿宋_GB2312"/>
                <w:sz w:val="32"/>
                <w:szCs w:val="32"/>
                <w:highlight w:val="none"/>
              </w:rPr>
              <w:t xml:space="preserve">2. </w:t>
            </w:r>
            <w:r>
              <w:rPr>
                <w:rFonts w:hint="eastAsia" w:ascii="仿宋_GB2312" w:hAnsi="宋体" w:eastAsia="仿宋_GB2312"/>
                <w:sz w:val="32"/>
                <w:szCs w:val="32"/>
                <w:highlight w:val="none"/>
              </w:rPr>
              <w:t>辅助工作人员</w:t>
            </w:r>
          </w:p>
        </w:tc>
        <w:tc>
          <w:tcPr>
            <w:tcW w:w="1770" w:type="dxa"/>
            <w:noWrap w:val="0"/>
            <w:vAlign w:val="top"/>
          </w:tcPr>
          <w:p>
            <w:pPr>
              <w:spacing w:line="360" w:lineRule="auto"/>
              <w:rPr>
                <w:rFonts w:hint="eastAsia" w:ascii="仿宋_GB2312" w:eastAsia="仿宋_GB2312"/>
                <w:sz w:val="32"/>
                <w:szCs w:val="32"/>
                <w:highlight w:val="none"/>
              </w:rPr>
            </w:pPr>
          </w:p>
        </w:tc>
        <w:tc>
          <w:tcPr>
            <w:tcW w:w="2130" w:type="dxa"/>
            <w:noWrap w:val="0"/>
            <w:vAlign w:val="top"/>
          </w:tcPr>
          <w:p>
            <w:pPr>
              <w:spacing w:line="360" w:lineRule="auto"/>
              <w:rPr>
                <w:rFonts w:hint="eastAsia" w:ascii="仿宋_GB2312" w:eastAsia="仿宋_GB2312"/>
                <w:sz w:val="32"/>
                <w:szCs w:val="32"/>
                <w:highlight w:val="none"/>
              </w:rPr>
            </w:pPr>
          </w:p>
        </w:tc>
        <w:tc>
          <w:tcPr>
            <w:tcW w:w="1860" w:type="dxa"/>
            <w:noWrap w:val="0"/>
            <w:vAlign w:val="top"/>
          </w:tcPr>
          <w:p>
            <w:pPr>
              <w:spacing w:line="360" w:lineRule="auto"/>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rPr>
                <w:rFonts w:hint="eastAsia" w:ascii="仿宋_GB2312" w:eastAsia="仿宋_GB2312"/>
                <w:sz w:val="32"/>
                <w:szCs w:val="32"/>
                <w:highlight w:val="none"/>
              </w:rPr>
            </w:pPr>
            <w:r>
              <w:rPr>
                <w:rFonts w:hint="eastAsia" w:ascii="仿宋_GB2312" w:eastAsia="仿宋_GB2312"/>
                <w:sz w:val="32"/>
                <w:szCs w:val="32"/>
                <w:highlight w:val="none"/>
              </w:rPr>
              <w:t xml:space="preserve">3. </w:t>
            </w:r>
            <w:r>
              <w:rPr>
                <w:rFonts w:hint="eastAsia" w:ascii="仿宋_GB2312" w:hAnsi="宋体" w:eastAsia="仿宋_GB2312"/>
                <w:sz w:val="32"/>
                <w:szCs w:val="32"/>
                <w:highlight w:val="none"/>
              </w:rPr>
              <w:t>其他人员</w:t>
            </w:r>
          </w:p>
        </w:tc>
        <w:tc>
          <w:tcPr>
            <w:tcW w:w="1770" w:type="dxa"/>
            <w:noWrap w:val="0"/>
            <w:vAlign w:val="top"/>
          </w:tcPr>
          <w:p>
            <w:pPr>
              <w:spacing w:line="360" w:lineRule="auto"/>
              <w:rPr>
                <w:rFonts w:hint="eastAsia" w:ascii="仿宋_GB2312" w:eastAsia="仿宋_GB2312"/>
                <w:sz w:val="32"/>
                <w:szCs w:val="32"/>
                <w:highlight w:val="none"/>
              </w:rPr>
            </w:pPr>
          </w:p>
        </w:tc>
        <w:tc>
          <w:tcPr>
            <w:tcW w:w="2130" w:type="dxa"/>
            <w:noWrap w:val="0"/>
            <w:vAlign w:val="top"/>
          </w:tcPr>
          <w:p>
            <w:pPr>
              <w:spacing w:line="360" w:lineRule="auto"/>
              <w:rPr>
                <w:rFonts w:hint="eastAsia" w:ascii="仿宋_GB2312" w:eastAsia="仿宋_GB2312"/>
                <w:sz w:val="32"/>
                <w:szCs w:val="32"/>
                <w:highlight w:val="none"/>
              </w:rPr>
            </w:pPr>
          </w:p>
        </w:tc>
        <w:tc>
          <w:tcPr>
            <w:tcW w:w="1860" w:type="dxa"/>
            <w:noWrap w:val="0"/>
            <w:vAlign w:val="top"/>
          </w:tcPr>
          <w:p>
            <w:pPr>
              <w:spacing w:line="360" w:lineRule="auto"/>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8" w:type="dxa"/>
            <w:noWrap w:val="0"/>
            <w:vAlign w:val="top"/>
          </w:tcPr>
          <w:p>
            <w:pPr>
              <w:spacing w:line="360" w:lineRule="auto"/>
              <w:rPr>
                <w:rFonts w:hint="eastAsia" w:ascii="仿宋_GB2312" w:hAnsi="宋体" w:eastAsia="仿宋_GB2312"/>
                <w:sz w:val="32"/>
                <w:szCs w:val="32"/>
                <w:highlight w:val="none"/>
              </w:rPr>
            </w:pPr>
          </w:p>
        </w:tc>
        <w:tc>
          <w:tcPr>
            <w:tcW w:w="1770" w:type="dxa"/>
            <w:noWrap w:val="0"/>
            <w:vAlign w:val="top"/>
          </w:tcPr>
          <w:p>
            <w:pPr>
              <w:spacing w:line="360" w:lineRule="auto"/>
              <w:rPr>
                <w:rFonts w:hint="eastAsia" w:ascii="仿宋_GB2312" w:hAnsi="宋体" w:eastAsia="仿宋_GB2312"/>
                <w:sz w:val="32"/>
                <w:szCs w:val="32"/>
                <w:highlight w:val="none"/>
              </w:rPr>
            </w:pPr>
          </w:p>
        </w:tc>
        <w:tc>
          <w:tcPr>
            <w:tcW w:w="2130" w:type="dxa"/>
            <w:noWrap w:val="0"/>
            <w:vAlign w:val="top"/>
          </w:tcPr>
          <w:p>
            <w:pPr>
              <w:spacing w:line="360" w:lineRule="auto"/>
              <w:rPr>
                <w:rFonts w:hint="eastAsia" w:ascii="仿宋_GB2312" w:hAnsi="宋体" w:eastAsia="仿宋_GB2312"/>
                <w:sz w:val="32"/>
                <w:szCs w:val="32"/>
                <w:highlight w:val="none"/>
              </w:rPr>
            </w:pPr>
          </w:p>
        </w:tc>
        <w:tc>
          <w:tcPr>
            <w:tcW w:w="1860" w:type="dxa"/>
            <w:noWrap w:val="0"/>
            <w:vAlign w:val="top"/>
          </w:tcPr>
          <w:p>
            <w:pPr>
              <w:spacing w:line="360" w:lineRule="auto"/>
              <w:rPr>
                <w:rFonts w:hint="eastAsia" w:ascii="仿宋_GB2312" w:hAnsi="宋体" w:eastAsia="仿宋_GB2312"/>
                <w:sz w:val="32"/>
                <w:szCs w:val="32"/>
                <w:highlight w:val="none"/>
              </w:rPr>
            </w:pPr>
          </w:p>
        </w:tc>
      </w:tr>
    </w:tbl>
    <w:p>
      <w:pPr>
        <w:spacing w:before="156" w:beforeLines="50" w:line="360" w:lineRule="auto"/>
        <w:outlineLvl w:val="0"/>
        <w:rPr>
          <w:rFonts w:hint="eastAsia" w:ascii="仿宋_GB2312" w:eastAsia="仿宋_GB2312"/>
          <w:b/>
          <w:kern w:val="0"/>
          <w:sz w:val="32"/>
          <w:szCs w:val="32"/>
          <w:highlight w:val="none"/>
        </w:rPr>
      </w:pPr>
      <w:bookmarkStart w:id="347" w:name="_Toc22183"/>
      <w:r>
        <w:rPr>
          <w:rFonts w:hint="eastAsia" w:ascii="仿宋_GB2312" w:eastAsia="仿宋_GB2312"/>
          <w:b/>
          <w:kern w:val="0"/>
          <w:sz w:val="32"/>
          <w:szCs w:val="32"/>
          <w:highlight w:val="none"/>
        </w:rPr>
        <w:t xml:space="preserve">B-2  </w:t>
      </w:r>
      <w:r>
        <w:rPr>
          <w:rFonts w:hint="eastAsia" w:ascii="仿宋_GB2312" w:hAnsi="宋体" w:eastAsia="仿宋_GB2312"/>
          <w:b/>
          <w:kern w:val="0"/>
          <w:sz w:val="32"/>
          <w:szCs w:val="32"/>
          <w:highlight w:val="none"/>
        </w:rPr>
        <w:t>委托人提供的房屋</w:t>
      </w:r>
      <w:bookmarkEnd w:id="347"/>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jc w:val="center"/>
              <w:rPr>
                <w:rFonts w:hint="eastAsia" w:ascii="仿宋_GB2312" w:eastAsia="仿宋_GB2312"/>
                <w:sz w:val="32"/>
                <w:szCs w:val="32"/>
                <w:highlight w:val="none"/>
              </w:rPr>
            </w:pPr>
            <w:r>
              <w:rPr>
                <w:rFonts w:hint="eastAsia" w:ascii="仿宋_GB2312" w:hAnsi="宋体" w:eastAsia="仿宋_GB2312"/>
                <w:sz w:val="32"/>
                <w:szCs w:val="32"/>
                <w:highlight w:val="none"/>
              </w:rPr>
              <w:t>名称</w:t>
            </w:r>
          </w:p>
        </w:tc>
        <w:tc>
          <w:tcPr>
            <w:tcW w:w="2130" w:type="dxa"/>
            <w:noWrap w:val="0"/>
            <w:vAlign w:val="top"/>
          </w:tcPr>
          <w:p>
            <w:pPr>
              <w:spacing w:line="360" w:lineRule="auto"/>
              <w:jc w:val="center"/>
              <w:rPr>
                <w:rFonts w:hint="eastAsia" w:ascii="仿宋_GB2312" w:eastAsia="仿宋_GB2312"/>
                <w:sz w:val="32"/>
                <w:szCs w:val="32"/>
                <w:highlight w:val="none"/>
              </w:rPr>
            </w:pPr>
            <w:r>
              <w:rPr>
                <w:rFonts w:hint="eastAsia" w:ascii="仿宋_GB2312" w:hAnsi="宋体" w:eastAsia="仿宋_GB2312"/>
                <w:sz w:val="32"/>
                <w:szCs w:val="32"/>
                <w:highlight w:val="none"/>
              </w:rPr>
              <w:t>数量</w:t>
            </w:r>
          </w:p>
        </w:tc>
        <w:tc>
          <w:tcPr>
            <w:tcW w:w="2130" w:type="dxa"/>
            <w:noWrap w:val="0"/>
            <w:vAlign w:val="top"/>
          </w:tcPr>
          <w:p>
            <w:pPr>
              <w:spacing w:line="360" w:lineRule="auto"/>
              <w:jc w:val="center"/>
              <w:rPr>
                <w:rFonts w:hint="eastAsia" w:ascii="仿宋_GB2312" w:eastAsia="仿宋_GB2312"/>
                <w:sz w:val="32"/>
                <w:szCs w:val="32"/>
                <w:highlight w:val="none"/>
              </w:rPr>
            </w:pPr>
            <w:r>
              <w:rPr>
                <w:rFonts w:hint="eastAsia" w:ascii="仿宋_GB2312" w:hAnsi="宋体" w:eastAsia="仿宋_GB2312"/>
                <w:sz w:val="32"/>
                <w:szCs w:val="32"/>
                <w:highlight w:val="none"/>
              </w:rPr>
              <w:t>面积</w:t>
            </w:r>
          </w:p>
        </w:tc>
        <w:tc>
          <w:tcPr>
            <w:tcW w:w="1860" w:type="dxa"/>
            <w:noWrap w:val="0"/>
            <w:vAlign w:val="top"/>
          </w:tcPr>
          <w:p>
            <w:pPr>
              <w:spacing w:line="360" w:lineRule="auto"/>
              <w:jc w:val="center"/>
              <w:rPr>
                <w:rFonts w:hint="eastAsia" w:ascii="仿宋_GB2312" w:eastAsia="仿宋_GB2312"/>
                <w:sz w:val="32"/>
                <w:szCs w:val="32"/>
                <w:highlight w:val="none"/>
              </w:rPr>
            </w:pPr>
            <w:r>
              <w:rPr>
                <w:rFonts w:hint="eastAsia" w:ascii="仿宋_GB2312" w:hAnsi="宋体" w:eastAsia="仿宋_GB2312"/>
                <w:sz w:val="32"/>
                <w:szCs w:val="32"/>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rPr>
                <w:rFonts w:hint="eastAsia" w:ascii="仿宋_GB2312" w:eastAsia="仿宋_GB2312"/>
                <w:sz w:val="32"/>
                <w:szCs w:val="32"/>
                <w:highlight w:val="none"/>
              </w:rPr>
            </w:pPr>
            <w:r>
              <w:rPr>
                <w:rFonts w:hint="eastAsia" w:ascii="仿宋_GB2312" w:eastAsia="仿宋_GB2312"/>
                <w:sz w:val="32"/>
                <w:szCs w:val="32"/>
                <w:highlight w:val="none"/>
              </w:rPr>
              <w:t xml:space="preserve">1. </w:t>
            </w:r>
            <w:r>
              <w:rPr>
                <w:rFonts w:hint="eastAsia" w:ascii="仿宋_GB2312" w:hAnsi="宋体" w:eastAsia="仿宋_GB2312"/>
                <w:sz w:val="32"/>
                <w:szCs w:val="32"/>
                <w:highlight w:val="none"/>
              </w:rPr>
              <w:t>办公用房</w:t>
            </w:r>
          </w:p>
        </w:tc>
        <w:tc>
          <w:tcPr>
            <w:tcW w:w="2130" w:type="dxa"/>
            <w:noWrap w:val="0"/>
            <w:vAlign w:val="top"/>
          </w:tcPr>
          <w:p>
            <w:pPr>
              <w:spacing w:line="360" w:lineRule="auto"/>
              <w:ind w:firstLine="320" w:firstLineChars="100"/>
              <w:rPr>
                <w:rFonts w:hint="eastAsia" w:ascii="仿宋_GB2312" w:eastAsia="仿宋_GB2312"/>
                <w:sz w:val="32"/>
                <w:szCs w:val="32"/>
                <w:highlight w:val="none"/>
              </w:rPr>
            </w:pPr>
            <w:r>
              <w:rPr>
                <w:rFonts w:hint="eastAsia" w:ascii="仿宋_GB2312" w:eastAsia="仿宋_GB2312"/>
                <w:sz w:val="32"/>
                <w:szCs w:val="32"/>
                <w:highlight w:val="none"/>
              </w:rPr>
              <w:t xml:space="preserve"> </w:t>
            </w:r>
          </w:p>
        </w:tc>
        <w:tc>
          <w:tcPr>
            <w:tcW w:w="2130" w:type="dxa"/>
            <w:noWrap w:val="0"/>
            <w:vAlign w:val="top"/>
          </w:tcPr>
          <w:p>
            <w:pPr>
              <w:spacing w:line="360" w:lineRule="auto"/>
              <w:ind w:firstLine="320" w:firstLineChars="100"/>
              <w:rPr>
                <w:rFonts w:hint="eastAsia" w:ascii="仿宋_GB2312" w:eastAsia="仿宋_GB2312"/>
                <w:sz w:val="32"/>
                <w:szCs w:val="32"/>
                <w:highlight w:val="none"/>
              </w:rPr>
            </w:pPr>
            <w:r>
              <w:rPr>
                <w:rFonts w:hint="eastAsia" w:ascii="仿宋_GB2312" w:eastAsia="仿宋_GB2312"/>
                <w:sz w:val="32"/>
                <w:szCs w:val="32"/>
                <w:highlight w:val="none"/>
              </w:rPr>
              <w:t xml:space="preserve"> </w:t>
            </w:r>
          </w:p>
        </w:tc>
        <w:tc>
          <w:tcPr>
            <w:tcW w:w="1860" w:type="dxa"/>
            <w:noWrap w:val="0"/>
            <w:vAlign w:val="top"/>
          </w:tcPr>
          <w:p>
            <w:pPr>
              <w:spacing w:line="360" w:lineRule="auto"/>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rPr>
                <w:rFonts w:hint="eastAsia" w:ascii="仿宋_GB2312" w:eastAsia="仿宋_GB2312"/>
                <w:sz w:val="32"/>
                <w:szCs w:val="32"/>
                <w:highlight w:val="none"/>
              </w:rPr>
            </w:pPr>
            <w:r>
              <w:rPr>
                <w:rFonts w:hint="eastAsia" w:ascii="仿宋_GB2312" w:eastAsia="仿宋_GB2312"/>
                <w:sz w:val="32"/>
                <w:szCs w:val="32"/>
                <w:highlight w:val="none"/>
              </w:rPr>
              <w:t xml:space="preserve">2. </w:t>
            </w:r>
            <w:r>
              <w:rPr>
                <w:rFonts w:hint="eastAsia" w:ascii="仿宋_GB2312" w:hAnsi="宋体" w:eastAsia="仿宋_GB2312"/>
                <w:sz w:val="32"/>
                <w:szCs w:val="32"/>
                <w:highlight w:val="none"/>
              </w:rPr>
              <w:t>生活用房</w:t>
            </w:r>
          </w:p>
        </w:tc>
        <w:tc>
          <w:tcPr>
            <w:tcW w:w="2130" w:type="dxa"/>
            <w:noWrap w:val="0"/>
            <w:vAlign w:val="top"/>
          </w:tcPr>
          <w:p>
            <w:pPr>
              <w:spacing w:line="360" w:lineRule="auto"/>
              <w:rPr>
                <w:rFonts w:hint="eastAsia" w:ascii="仿宋_GB2312" w:eastAsia="仿宋_GB2312"/>
                <w:sz w:val="32"/>
                <w:szCs w:val="32"/>
                <w:highlight w:val="none"/>
              </w:rPr>
            </w:pPr>
          </w:p>
        </w:tc>
        <w:tc>
          <w:tcPr>
            <w:tcW w:w="2130" w:type="dxa"/>
            <w:noWrap w:val="0"/>
            <w:vAlign w:val="top"/>
          </w:tcPr>
          <w:p>
            <w:pPr>
              <w:spacing w:line="360" w:lineRule="auto"/>
              <w:rPr>
                <w:rFonts w:hint="eastAsia" w:ascii="仿宋_GB2312" w:eastAsia="仿宋_GB2312"/>
                <w:sz w:val="32"/>
                <w:szCs w:val="32"/>
                <w:highlight w:val="none"/>
              </w:rPr>
            </w:pPr>
          </w:p>
        </w:tc>
        <w:tc>
          <w:tcPr>
            <w:tcW w:w="1860" w:type="dxa"/>
            <w:noWrap w:val="0"/>
            <w:vAlign w:val="top"/>
          </w:tcPr>
          <w:p>
            <w:pPr>
              <w:spacing w:line="360" w:lineRule="auto"/>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rPr>
                <w:rFonts w:hint="eastAsia" w:ascii="仿宋_GB2312" w:eastAsia="仿宋_GB2312"/>
                <w:dstrike/>
                <w:sz w:val="32"/>
                <w:szCs w:val="32"/>
                <w:highlight w:val="none"/>
              </w:rPr>
            </w:pPr>
            <w:r>
              <w:rPr>
                <w:rFonts w:hint="eastAsia" w:ascii="仿宋_GB2312" w:eastAsia="仿宋_GB2312"/>
                <w:sz w:val="32"/>
                <w:szCs w:val="32"/>
                <w:highlight w:val="none"/>
              </w:rPr>
              <w:t xml:space="preserve">3. </w:t>
            </w:r>
            <w:r>
              <w:rPr>
                <w:rFonts w:hint="eastAsia" w:ascii="仿宋_GB2312" w:hAnsi="宋体" w:eastAsia="仿宋_GB2312"/>
                <w:sz w:val="32"/>
                <w:szCs w:val="32"/>
                <w:highlight w:val="none"/>
              </w:rPr>
              <w:t>试验用房</w:t>
            </w:r>
          </w:p>
        </w:tc>
        <w:tc>
          <w:tcPr>
            <w:tcW w:w="2130" w:type="dxa"/>
            <w:noWrap w:val="0"/>
            <w:vAlign w:val="top"/>
          </w:tcPr>
          <w:p>
            <w:pPr>
              <w:spacing w:line="360" w:lineRule="auto"/>
              <w:rPr>
                <w:rFonts w:hint="eastAsia" w:ascii="仿宋_GB2312" w:eastAsia="仿宋_GB2312"/>
                <w:sz w:val="32"/>
                <w:szCs w:val="32"/>
                <w:highlight w:val="none"/>
              </w:rPr>
            </w:pPr>
          </w:p>
        </w:tc>
        <w:tc>
          <w:tcPr>
            <w:tcW w:w="2130" w:type="dxa"/>
            <w:noWrap w:val="0"/>
            <w:vAlign w:val="top"/>
          </w:tcPr>
          <w:p>
            <w:pPr>
              <w:spacing w:line="360" w:lineRule="auto"/>
              <w:rPr>
                <w:rFonts w:hint="eastAsia" w:ascii="仿宋_GB2312" w:eastAsia="仿宋_GB2312"/>
                <w:sz w:val="32"/>
                <w:szCs w:val="32"/>
                <w:highlight w:val="none"/>
              </w:rPr>
            </w:pPr>
          </w:p>
        </w:tc>
        <w:tc>
          <w:tcPr>
            <w:tcW w:w="1860" w:type="dxa"/>
            <w:noWrap w:val="0"/>
            <w:vAlign w:val="top"/>
          </w:tcPr>
          <w:p>
            <w:pPr>
              <w:spacing w:line="360" w:lineRule="auto"/>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rPr>
                <w:rFonts w:hint="eastAsia" w:ascii="仿宋_GB2312" w:eastAsia="仿宋_GB2312"/>
                <w:sz w:val="32"/>
                <w:szCs w:val="32"/>
                <w:highlight w:val="none"/>
              </w:rPr>
            </w:pPr>
            <w:r>
              <w:rPr>
                <w:rFonts w:hint="eastAsia" w:ascii="仿宋_GB2312" w:eastAsia="仿宋_GB2312"/>
                <w:sz w:val="32"/>
                <w:szCs w:val="32"/>
                <w:highlight w:val="none"/>
              </w:rPr>
              <w:t xml:space="preserve">4. </w:t>
            </w:r>
            <w:r>
              <w:rPr>
                <w:rFonts w:hint="eastAsia" w:ascii="仿宋_GB2312" w:hAnsi="宋体" w:eastAsia="仿宋_GB2312"/>
                <w:sz w:val="32"/>
                <w:szCs w:val="32"/>
                <w:highlight w:val="none"/>
              </w:rPr>
              <w:t>样品用房</w:t>
            </w:r>
          </w:p>
        </w:tc>
        <w:tc>
          <w:tcPr>
            <w:tcW w:w="2130" w:type="dxa"/>
            <w:noWrap w:val="0"/>
            <w:vAlign w:val="top"/>
          </w:tcPr>
          <w:p>
            <w:pPr>
              <w:spacing w:line="360" w:lineRule="auto"/>
              <w:rPr>
                <w:rFonts w:hint="eastAsia" w:ascii="仿宋_GB2312" w:eastAsia="仿宋_GB2312"/>
                <w:sz w:val="32"/>
                <w:szCs w:val="32"/>
                <w:highlight w:val="none"/>
              </w:rPr>
            </w:pPr>
          </w:p>
        </w:tc>
        <w:tc>
          <w:tcPr>
            <w:tcW w:w="2130" w:type="dxa"/>
            <w:noWrap w:val="0"/>
            <w:vAlign w:val="top"/>
          </w:tcPr>
          <w:p>
            <w:pPr>
              <w:spacing w:line="360" w:lineRule="auto"/>
              <w:rPr>
                <w:rFonts w:hint="eastAsia" w:ascii="仿宋_GB2312" w:eastAsia="仿宋_GB2312"/>
                <w:sz w:val="32"/>
                <w:szCs w:val="32"/>
                <w:highlight w:val="none"/>
              </w:rPr>
            </w:pPr>
          </w:p>
        </w:tc>
        <w:tc>
          <w:tcPr>
            <w:tcW w:w="1860" w:type="dxa"/>
            <w:noWrap w:val="0"/>
            <w:vAlign w:val="top"/>
          </w:tcPr>
          <w:p>
            <w:pPr>
              <w:spacing w:line="360" w:lineRule="auto"/>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rPr>
                <w:rFonts w:hint="eastAsia" w:ascii="仿宋_GB2312" w:hAnsi="宋体" w:eastAsia="仿宋_GB2312"/>
                <w:sz w:val="32"/>
                <w:szCs w:val="32"/>
                <w:highlight w:val="none"/>
              </w:rPr>
            </w:pPr>
          </w:p>
        </w:tc>
        <w:tc>
          <w:tcPr>
            <w:tcW w:w="2130" w:type="dxa"/>
            <w:noWrap w:val="0"/>
            <w:vAlign w:val="top"/>
          </w:tcPr>
          <w:p>
            <w:pPr>
              <w:spacing w:line="360" w:lineRule="auto"/>
              <w:rPr>
                <w:rFonts w:hint="eastAsia" w:ascii="仿宋_GB2312" w:hAnsi="宋体" w:eastAsia="仿宋_GB2312"/>
                <w:sz w:val="32"/>
                <w:szCs w:val="32"/>
                <w:highlight w:val="none"/>
              </w:rPr>
            </w:pPr>
          </w:p>
        </w:tc>
        <w:tc>
          <w:tcPr>
            <w:tcW w:w="2130" w:type="dxa"/>
            <w:noWrap w:val="0"/>
            <w:vAlign w:val="top"/>
          </w:tcPr>
          <w:p>
            <w:pPr>
              <w:spacing w:line="360" w:lineRule="auto"/>
              <w:rPr>
                <w:rFonts w:hint="eastAsia" w:ascii="仿宋_GB2312" w:hAnsi="宋体" w:eastAsia="仿宋_GB2312"/>
                <w:sz w:val="32"/>
                <w:szCs w:val="32"/>
                <w:highlight w:val="none"/>
              </w:rPr>
            </w:pPr>
          </w:p>
        </w:tc>
        <w:tc>
          <w:tcPr>
            <w:tcW w:w="1860" w:type="dxa"/>
            <w:noWrap w:val="0"/>
            <w:vAlign w:val="top"/>
          </w:tcPr>
          <w:p>
            <w:pPr>
              <w:spacing w:line="360" w:lineRule="auto"/>
              <w:rPr>
                <w:rFonts w:hint="eastAsia" w:ascii="仿宋_GB2312" w:hAnsi="宋体"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48" w:type="dxa"/>
            <w:noWrap w:val="0"/>
            <w:vAlign w:val="top"/>
          </w:tcPr>
          <w:p>
            <w:pPr>
              <w:spacing w:line="360" w:lineRule="auto"/>
              <w:rPr>
                <w:rFonts w:hint="eastAsia" w:ascii="仿宋_GB2312" w:hAnsi="宋体" w:eastAsia="仿宋_GB2312"/>
                <w:sz w:val="32"/>
                <w:szCs w:val="32"/>
                <w:highlight w:val="none"/>
              </w:rPr>
            </w:pPr>
            <w:r>
              <w:rPr>
                <w:rFonts w:hint="eastAsia" w:ascii="仿宋_GB2312" w:hAnsi="宋体" w:eastAsia="仿宋_GB2312"/>
                <w:sz w:val="32"/>
                <w:szCs w:val="32"/>
                <w:highlight w:val="none"/>
              </w:rPr>
              <w:t>用餐及其他生活条件</w:t>
            </w:r>
          </w:p>
        </w:tc>
        <w:tc>
          <w:tcPr>
            <w:tcW w:w="6120" w:type="dxa"/>
            <w:gridSpan w:val="3"/>
            <w:noWrap w:val="0"/>
            <w:vAlign w:val="top"/>
          </w:tcPr>
          <w:p>
            <w:pPr>
              <w:spacing w:line="360" w:lineRule="auto"/>
              <w:rPr>
                <w:rFonts w:hint="eastAsia" w:ascii="仿宋_GB2312" w:hAnsi="宋体" w:eastAsia="仿宋_GB2312"/>
                <w:sz w:val="32"/>
                <w:szCs w:val="32"/>
                <w:highlight w:val="none"/>
              </w:rPr>
            </w:pPr>
          </w:p>
        </w:tc>
      </w:tr>
    </w:tbl>
    <w:p>
      <w:pPr>
        <w:spacing w:before="156" w:beforeLines="50" w:line="360" w:lineRule="auto"/>
        <w:outlineLvl w:val="0"/>
        <w:rPr>
          <w:rFonts w:hint="eastAsia" w:ascii="仿宋_GB2312" w:eastAsia="仿宋_GB2312"/>
          <w:b/>
          <w:kern w:val="0"/>
          <w:sz w:val="32"/>
          <w:szCs w:val="32"/>
          <w:highlight w:val="none"/>
        </w:rPr>
      </w:pPr>
    </w:p>
    <w:p>
      <w:pPr>
        <w:spacing w:before="156" w:beforeLines="50" w:line="360" w:lineRule="auto"/>
        <w:outlineLvl w:val="0"/>
        <w:rPr>
          <w:rFonts w:hint="eastAsia" w:ascii="仿宋_GB2312" w:eastAsia="仿宋_GB2312"/>
          <w:b/>
          <w:kern w:val="0"/>
          <w:sz w:val="32"/>
          <w:szCs w:val="32"/>
          <w:highlight w:val="none"/>
        </w:rPr>
      </w:pPr>
    </w:p>
    <w:p>
      <w:pPr>
        <w:spacing w:before="156" w:beforeLines="50" w:line="360" w:lineRule="auto"/>
        <w:outlineLvl w:val="0"/>
        <w:rPr>
          <w:rFonts w:hint="eastAsia" w:ascii="仿宋_GB2312" w:eastAsia="仿宋_GB2312"/>
          <w:b/>
          <w:kern w:val="0"/>
          <w:sz w:val="32"/>
          <w:szCs w:val="32"/>
          <w:highlight w:val="none"/>
        </w:rPr>
      </w:pPr>
    </w:p>
    <w:p>
      <w:pPr>
        <w:spacing w:before="156" w:beforeLines="50" w:line="360" w:lineRule="auto"/>
        <w:outlineLvl w:val="0"/>
        <w:rPr>
          <w:rFonts w:hint="eastAsia" w:ascii="仿宋_GB2312" w:eastAsia="仿宋_GB2312"/>
          <w:b/>
          <w:kern w:val="0"/>
          <w:sz w:val="32"/>
          <w:szCs w:val="32"/>
          <w:highlight w:val="none"/>
        </w:rPr>
      </w:pPr>
    </w:p>
    <w:p>
      <w:pPr>
        <w:spacing w:before="156" w:beforeLines="50" w:line="360" w:lineRule="auto"/>
        <w:outlineLvl w:val="0"/>
        <w:rPr>
          <w:rFonts w:hint="eastAsia" w:ascii="仿宋_GB2312" w:eastAsia="仿宋_GB2312"/>
          <w:b/>
          <w:kern w:val="0"/>
          <w:sz w:val="32"/>
          <w:szCs w:val="32"/>
          <w:highlight w:val="none"/>
        </w:rPr>
      </w:pPr>
      <w:bookmarkStart w:id="348" w:name="_Toc27739"/>
      <w:r>
        <w:rPr>
          <w:rFonts w:hint="eastAsia" w:ascii="仿宋_GB2312" w:eastAsia="仿宋_GB2312"/>
          <w:b/>
          <w:kern w:val="0"/>
          <w:sz w:val="32"/>
          <w:szCs w:val="32"/>
          <w:highlight w:val="none"/>
        </w:rPr>
        <w:t xml:space="preserve">B-3  </w:t>
      </w:r>
      <w:r>
        <w:rPr>
          <w:rFonts w:hint="eastAsia" w:ascii="仿宋_GB2312" w:hAnsi="宋体" w:eastAsia="仿宋_GB2312"/>
          <w:b/>
          <w:kern w:val="0"/>
          <w:sz w:val="32"/>
          <w:szCs w:val="32"/>
          <w:highlight w:val="none"/>
        </w:rPr>
        <w:t>委托人提供的资料</w:t>
      </w:r>
      <w:bookmarkEnd w:id="348"/>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jc w:val="center"/>
              <w:rPr>
                <w:rFonts w:hint="eastAsia" w:ascii="仿宋_GB2312" w:eastAsia="仿宋_GB2312"/>
                <w:kern w:val="0"/>
                <w:sz w:val="32"/>
                <w:szCs w:val="32"/>
                <w:highlight w:val="none"/>
              </w:rPr>
            </w:pPr>
            <w:r>
              <w:rPr>
                <w:rFonts w:hint="eastAsia" w:ascii="仿宋_GB2312" w:hAnsi="宋体" w:eastAsia="仿宋_GB2312"/>
                <w:kern w:val="0"/>
                <w:sz w:val="32"/>
                <w:szCs w:val="32"/>
                <w:highlight w:val="none"/>
              </w:rPr>
              <w:t>名称</w:t>
            </w:r>
          </w:p>
        </w:tc>
        <w:tc>
          <w:tcPr>
            <w:tcW w:w="1491" w:type="dxa"/>
            <w:noWrap w:val="0"/>
            <w:vAlign w:val="top"/>
          </w:tcPr>
          <w:p>
            <w:pPr>
              <w:spacing w:line="360" w:lineRule="auto"/>
              <w:jc w:val="center"/>
              <w:rPr>
                <w:rFonts w:hint="eastAsia" w:ascii="仿宋_GB2312" w:eastAsia="仿宋_GB2312"/>
                <w:kern w:val="0"/>
                <w:sz w:val="32"/>
                <w:szCs w:val="32"/>
                <w:highlight w:val="none"/>
              </w:rPr>
            </w:pPr>
            <w:r>
              <w:rPr>
                <w:rFonts w:hint="eastAsia" w:ascii="仿宋_GB2312" w:hAnsi="宋体" w:eastAsia="仿宋_GB2312"/>
                <w:kern w:val="0"/>
                <w:sz w:val="32"/>
                <w:szCs w:val="32"/>
                <w:highlight w:val="none"/>
              </w:rPr>
              <w:t>份数</w:t>
            </w:r>
          </w:p>
        </w:tc>
        <w:tc>
          <w:tcPr>
            <w:tcW w:w="2147" w:type="dxa"/>
            <w:noWrap w:val="0"/>
            <w:vAlign w:val="top"/>
          </w:tcPr>
          <w:p>
            <w:pPr>
              <w:spacing w:line="360" w:lineRule="auto"/>
              <w:jc w:val="center"/>
              <w:rPr>
                <w:rFonts w:hint="eastAsia" w:ascii="仿宋_GB2312" w:eastAsia="仿宋_GB2312"/>
                <w:kern w:val="0"/>
                <w:sz w:val="32"/>
                <w:szCs w:val="32"/>
                <w:highlight w:val="none"/>
              </w:rPr>
            </w:pPr>
            <w:r>
              <w:rPr>
                <w:rFonts w:hint="eastAsia" w:ascii="仿宋_GB2312" w:hAnsi="宋体" w:eastAsia="仿宋_GB2312"/>
                <w:kern w:val="0"/>
                <w:sz w:val="32"/>
                <w:szCs w:val="32"/>
                <w:highlight w:val="none"/>
              </w:rPr>
              <w:t>提供时间</w:t>
            </w:r>
          </w:p>
        </w:tc>
        <w:tc>
          <w:tcPr>
            <w:tcW w:w="2082" w:type="dxa"/>
            <w:noWrap w:val="0"/>
            <w:vAlign w:val="top"/>
          </w:tcPr>
          <w:p>
            <w:pPr>
              <w:spacing w:line="360" w:lineRule="auto"/>
              <w:jc w:val="center"/>
              <w:rPr>
                <w:rFonts w:hint="eastAsia" w:ascii="仿宋_GB2312" w:eastAsia="仿宋_GB2312"/>
                <w:kern w:val="0"/>
                <w:sz w:val="32"/>
                <w:szCs w:val="32"/>
                <w:highlight w:val="none"/>
              </w:rPr>
            </w:pPr>
            <w:r>
              <w:rPr>
                <w:rFonts w:hint="eastAsia" w:ascii="仿宋_GB2312" w:hAnsi="宋体" w:eastAsia="仿宋_GB2312"/>
                <w:kern w:val="0"/>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_GB2312" w:eastAsia="仿宋_GB2312"/>
                <w:kern w:val="0"/>
                <w:sz w:val="32"/>
                <w:szCs w:val="32"/>
                <w:highlight w:val="none"/>
              </w:rPr>
            </w:pPr>
            <w:r>
              <w:rPr>
                <w:rFonts w:hint="eastAsia" w:ascii="仿宋_GB2312" w:eastAsia="仿宋_GB2312"/>
                <w:kern w:val="0"/>
                <w:sz w:val="32"/>
                <w:szCs w:val="32"/>
                <w:highlight w:val="none"/>
              </w:rPr>
              <w:t xml:space="preserve">1. </w:t>
            </w:r>
            <w:r>
              <w:rPr>
                <w:rFonts w:hint="eastAsia" w:ascii="仿宋_GB2312" w:hAnsi="宋体" w:eastAsia="仿宋_GB2312"/>
                <w:kern w:val="0"/>
                <w:sz w:val="32"/>
                <w:szCs w:val="32"/>
                <w:highlight w:val="none"/>
              </w:rPr>
              <w:t>工程立项文件</w:t>
            </w:r>
          </w:p>
        </w:tc>
        <w:tc>
          <w:tcPr>
            <w:tcW w:w="1491" w:type="dxa"/>
            <w:noWrap w:val="0"/>
            <w:vAlign w:val="top"/>
          </w:tcPr>
          <w:p>
            <w:pPr>
              <w:spacing w:line="360" w:lineRule="auto"/>
              <w:rPr>
                <w:rFonts w:hint="eastAsia" w:ascii="仿宋_GB2312" w:eastAsia="仿宋_GB2312"/>
                <w:kern w:val="0"/>
                <w:sz w:val="32"/>
                <w:szCs w:val="32"/>
                <w:highlight w:val="none"/>
              </w:rPr>
            </w:pPr>
          </w:p>
        </w:tc>
        <w:tc>
          <w:tcPr>
            <w:tcW w:w="2147" w:type="dxa"/>
            <w:noWrap w:val="0"/>
            <w:vAlign w:val="top"/>
          </w:tcPr>
          <w:p>
            <w:pPr>
              <w:spacing w:line="360" w:lineRule="auto"/>
              <w:rPr>
                <w:rFonts w:hint="eastAsia" w:ascii="仿宋_GB2312" w:eastAsia="仿宋_GB2312"/>
                <w:kern w:val="0"/>
                <w:sz w:val="32"/>
                <w:szCs w:val="32"/>
                <w:highlight w:val="none"/>
              </w:rPr>
            </w:pPr>
          </w:p>
        </w:tc>
        <w:tc>
          <w:tcPr>
            <w:tcW w:w="2082" w:type="dxa"/>
            <w:noWrap w:val="0"/>
            <w:vAlign w:val="top"/>
          </w:tcPr>
          <w:p>
            <w:pPr>
              <w:spacing w:line="360" w:lineRule="auto"/>
              <w:rPr>
                <w:rFonts w:hint="eastAsia" w:ascii="仿宋_GB2312"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_GB2312" w:eastAsia="仿宋_GB2312"/>
                <w:kern w:val="0"/>
                <w:sz w:val="32"/>
                <w:szCs w:val="32"/>
                <w:highlight w:val="none"/>
              </w:rPr>
            </w:pPr>
            <w:r>
              <w:rPr>
                <w:rFonts w:hint="eastAsia" w:ascii="仿宋_GB2312" w:eastAsia="仿宋_GB2312"/>
                <w:kern w:val="0"/>
                <w:sz w:val="32"/>
                <w:szCs w:val="32"/>
                <w:highlight w:val="none"/>
              </w:rPr>
              <w:t>2</w:t>
            </w:r>
            <w:r>
              <w:rPr>
                <w:rFonts w:hint="eastAsia" w:ascii="仿宋_GB2312" w:hAnsi="宋体" w:eastAsia="仿宋_GB2312"/>
                <w:kern w:val="0"/>
                <w:sz w:val="32"/>
                <w:szCs w:val="32"/>
                <w:highlight w:val="none"/>
              </w:rPr>
              <w:t>. 工程勘察文件</w:t>
            </w:r>
          </w:p>
        </w:tc>
        <w:tc>
          <w:tcPr>
            <w:tcW w:w="1491" w:type="dxa"/>
            <w:noWrap w:val="0"/>
            <w:vAlign w:val="top"/>
          </w:tcPr>
          <w:p>
            <w:pPr>
              <w:spacing w:line="360" w:lineRule="auto"/>
              <w:rPr>
                <w:rFonts w:hint="eastAsia" w:ascii="仿宋_GB2312" w:eastAsia="仿宋_GB2312"/>
                <w:kern w:val="0"/>
                <w:sz w:val="32"/>
                <w:szCs w:val="32"/>
                <w:highlight w:val="none"/>
              </w:rPr>
            </w:pPr>
          </w:p>
        </w:tc>
        <w:tc>
          <w:tcPr>
            <w:tcW w:w="2147" w:type="dxa"/>
            <w:noWrap w:val="0"/>
            <w:vAlign w:val="top"/>
          </w:tcPr>
          <w:p>
            <w:pPr>
              <w:spacing w:line="360" w:lineRule="auto"/>
              <w:rPr>
                <w:rFonts w:hint="eastAsia" w:ascii="仿宋_GB2312" w:eastAsia="仿宋_GB2312"/>
                <w:kern w:val="0"/>
                <w:sz w:val="32"/>
                <w:szCs w:val="32"/>
                <w:highlight w:val="none"/>
              </w:rPr>
            </w:pPr>
          </w:p>
        </w:tc>
        <w:tc>
          <w:tcPr>
            <w:tcW w:w="2082" w:type="dxa"/>
            <w:noWrap w:val="0"/>
            <w:vAlign w:val="top"/>
          </w:tcPr>
          <w:p>
            <w:pPr>
              <w:spacing w:line="360" w:lineRule="auto"/>
              <w:rPr>
                <w:rFonts w:hint="eastAsia" w:ascii="仿宋_GB2312"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_GB2312" w:eastAsia="仿宋_GB2312"/>
                <w:kern w:val="0"/>
                <w:sz w:val="32"/>
                <w:szCs w:val="32"/>
                <w:highlight w:val="none"/>
              </w:rPr>
            </w:pPr>
            <w:r>
              <w:rPr>
                <w:rFonts w:hint="eastAsia" w:ascii="仿宋_GB2312" w:eastAsia="仿宋_GB2312"/>
                <w:kern w:val="0"/>
                <w:sz w:val="32"/>
                <w:szCs w:val="32"/>
                <w:highlight w:val="none"/>
              </w:rPr>
              <w:t>3</w:t>
            </w:r>
            <w:r>
              <w:rPr>
                <w:rFonts w:hint="eastAsia" w:ascii="仿宋_GB2312" w:hAnsi="宋体" w:eastAsia="仿宋_GB2312"/>
                <w:kern w:val="0"/>
                <w:sz w:val="32"/>
                <w:szCs w:val="32"/>
                <w:highlight w:val="none"/>
              </w:rPr>
              <w:t>. 工程设计及施工图纸</w:t>
            </w:r>
          </w:p>
        </w:tc>
        <w:tc>
          <w:tcPr>
            <w:tcW w:w="1491" w:type="dxa"/>
            <w:noWrap w:val="0"/>
            <w:vAlign w:val="top"/>
          </w:tcPr>
          <w:p>
            <w:pPr>
              <w:spacing w:line="360" w:lineRule="auto"/>
              <w:rPr>
                <w:rFonts w:hint="eastAsia" w:ascii="仿宋_GB2312" w:eastAsia="仿宋_GB2312"/>
                <w:kern w:val="0"/>
                <w:sz w:val="32"/>
                <w:szCs w:val="32"/>
                <w:highlight w:val="none"/>
              </w:rPr>
            </w:pPr>
          </w:p>
        </w:tc>
        <w:tc>
          <w:tcPr>
            <w:tcW w:w="2147" w:type="dxa"/>
            <w:noWrap w:val="0"/>
            <w:vAlign w:val="top"/>
          </w:tcPr>
          <w:p>
            <w:pPr>
              <w:spacing w:line="360" w:lineRule="auto"/>
              <w:rPr>
                <w:rFonts w:hint="eastAsia" w:ascii="仿宋_GB2312" w:eastAsia="仿宋_GB2312"/>
                <w:kern w:val="0"/>
                <w:sz w:val="32"/>
                <w:szCs w:val="32"/>
                <w:highlight w:val="none"/>
              </w:rPr>
            </w:pPr>
          </w:p>
        </w:tc>
        <w:tc>
          <w:tcPr>
            <w:tcW w:w="2082" w:type="dxa"/>
            <w:noWrap w:val="0"/>
            <w:vAlign w:val="top"/>
          </w:tcPr>
          <w:p>
            <w:pPr>
              <w:spacing w:line="360" w:lineRule="auto"/>
              <w:rPr>
                <w:rFonts w:hint="eastAsia" w:ascii="仿宋_GB2312"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_GB2312" w:eastAsia="仿宋_GB2312"/>
                <w:kern w:val="0"/>
                <w:sz w:val="32"/>
                <w:szCs w:val="32"/>
                <w:highlight w:val="none"/>
              </w:rPr>
            </w:pPr>
            <w:r>
              <w:rPr>
                <w:rFonts w:hint="eastAsia" w:ascii="仿宋_GB2312" w:eastAsia="仿宋_GB2312"/>
                <w:kern w:val="0"/>
                <w:sz w:val="32"/>
                <w:szCs w:val="32"/>
                <w:highlight w:val="none"/>
              </w:rPr>
              <w:t xml:space="preserve">4. </w:t>
            </w:r>
            <w:r>
              <w:rPr>
                <w:rFonts w:hint="eastAsia" w:ascii="仿宋_GB2312" w:hAnsi="宋体" w:eastAsia="仿宋_GB2312"/>
                <w:kern w:val="0"/>
                <w:sz w:val="32"/>
                <w:szCs w:val="32"/>
                <w:highlight w:val="none"/>
              </w:rPr>
              <w:t>工程承包合同及其他相关合同</w:t>
            </w:r>
          </w:p>
        </w:tc>
        <w:tc>
          <w:tcPr>
            <w:tcW w:w="1491" w:type="dxa"/>
            <w:noWrap w:val="0"/>
            <w:vAlign w:val="top"/>
          </w:tcPr>
          <w:p>
            <w:pPr>
              <w:spacing w:line="360" w:lineRule="auto"/>
              <w:rPr>
                <w:rFonts w:hint="eastAsia" w:ascii="仿宋_GB2312" w:eastAsia="仿宋_GB2312"/>
                <w:kern w:val="0"/>
                <w:sz w:val="32"/>
                <w:szCs w:val="32"/>
                <w:highlight w:val="none"/>
              </w:rPr>
            </w:pPr>
          </w:p>
        </w:tc>
        <w:tc>
          <w:tcPr>
            <w:tcW w:w="2147" w:type="dxa"/>
            <w:noWrap w:val="0"/>
            <w:vAlign w:val="top"/>
          </w:tcPr>
          <w:p>
            <w:pPr>
              <w:spacing w:line="360" w:lineRule="auto"/>
              <w:rPr>
                <w:rFonts w:hint="eastAsia" w:ascii="仿宋_GB2312" w:eastAsia="仿宋_GB2312"/>
                <w:kern w:val="0"/>
                <w:sz w:val="32"/>
                <w:szCs w:val="32"/>
                <w:highlight w:val="none"/>
              </w:rPr>
            </w:pPr>
          </w:p>
        </w:tc>
        <w:tc>
          <w:tcPr>
            <w:tcW w:w="2082" w:type="dxa"/>
            <w:noWrap w:val="0"/>
            <w:vAlign w:val="top"/>
          </w:tcPr>
          <w:p>
            <w:pPr>
              <w:spacing w:line="360" w:lineRule="auto"/>
              <w:rPr>
                <w:rFonts w:hint="eastAsia" w:ascii="仿宋_GB2312"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_GB2312" w:eastAsia="仿宋_GB2312"/>
                <w:kern w:val="0"/>
                <w:sz w:val="32"/>
                <w:szCs w:val="32"/>
                <w:highlight w:val="none"/>
              </w:rPr>
            </w:pPr>
            <w:r>
              <w:rPr>
                <w:rFonts w:hint="eastAsia" w:ascii="仿宋_GB2312" w:eastAsia="仿宋_GB2312"/>
                <w:kern w:val="0"/>
                <w:sz w:val="32"/>
                <w:szCs w:val="32"/>
                <w:highlight w:val="none"/>
              </w:rPr>
              <w:t xml:space="preserve">5. </w:t>
            </w:r>
            <w:r>
              <w:rPr>
                <w:rFonts w:hint="eastAsia" w:ascii="仿宋_GB2312" w:hAnsi="宋体" w:eastAsia="仿宋_GB2312"/>
                <w:kern w:val="0"/>
                <w:sz w:val="32"/>
                <w:szCs w:val="32"/>
                <w:highlight w:val="none"/>
              </w:rPr>
              <w:t>施工许可文件</w:t>
            </w:r>
          </w:p>
        </w:tc>
        <w:tc>
          <w:tcPr>
            <w:tcW w:w="1491" w:type="dxa"/>
            <w:noWrap w:val="0"/>
            <w:vAlign w:val="top"/>
          </w:tcPr>
          <w:p>
            <w:pPr>
              <w:spacing w:line="360" w:lineRule="auto"/>
              <w:rPr>
                <w:rFonts w:hint="eastAsia" w:ascii="仿宋_GB2312" w:eastAsia="仿宋_GB2312"/>
                <w:kern w:val="0"/>
                <w:sz w:val="32"/>
                <w:szCs w:val="32"/>
                <w:highlight w:val="none"/>
              </w:rPr>
            </w:pPr>
          </w:p>
        </w:tc>
        <w:tc>
          <w:tcPr>
            <w:tcW w:w="2147" w:type="dxa"/>
            <w:noWrap w:val="0"/>
            <w:vAlign w:val="top"/>
          </w:tcPr>
          <w:p>
            <w:pPr>
              <w:spacing w:line="360" w:lineRule="auto"/>
              <w:rPr>
                <w:rFonts w:hint="eastAsia" w:ascii="仿宋_GB2312" w:eastAsia="仿宋_GB2312"/>
                <w:kern w:val="0"/>
                <w:sz w:val="32"/>
                <w:szCs w:val="32"/>
                <w:highlight w:val="none"/>
              </w:rPr>
            </w:pPr>
          </w:p>
        </w:tc>
        <w:tc>
          <w:tcPr>
            <w:tcW w:w="2082" w:type="dxa"/>
            <w:noWrap w:val="0"/>
            <w:vAlign w:val="top"/>
          </w:tcPr>
          <w:p>
            <w:pPr>
              <w:spacing w:line="360" w:lineRule="auto"/>
              <w:rPr>
                <w:rFonts w:hint="eastAsia" w:ascii="仿宋_GB2312"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_GB2312" w:eastAsia="仿宋_GB2312"/>
                <w:kern w:val="0"/>
                <w:sz w:val="32"/>
                <w:szCs w:val="32"/>
                <w:highlight w:val="none"/>
              </w:rPr>
            </w:pPr>
            <w:r>
              <w:rPr>
                <w:rFonts w:hint="eastAsia" w:ascii="仿宋_GB2312" w:eastAsia="仿宋_GB2312"/>
                <w:kern w:val="0"/>
                <w:sz w:val="32"/>
                <w:szCs w:val="32"/>
                <w:highlight w:val="none"/>
              </w:rPr>
              <w:t xml:space="preserve">6. </w:t>
            </w:r>
            <w:r>
              <w:rPr>
                <w:rFonts w:hint="eastAsia" w:ascii="仿宋_GB2312" w:hAnsi="宋体" w:eastAsia="仿宋_GB2312"/>
                <w:kern w:val="0"/>
                <w:sz w:val="32"/>
                <w:szCs w:val="32"/>
                <w:highlight w:val="none"/>
              </w:rPr>
              <w:t>其他文件</w:t>
            </w:r>
          </w:p>
        </w:tc>
        <w:tc>
          <w:tcPr>
            <w:tcW w:w="1491" w:type="dxa"/>
            <w:noWrap w:val="0"/>
            <w:vAlign w:val="top"/>
          </w:tcPr>
          <w:p>
            <w:pPr>
              <w:spacing w:line="360" w:lineRule="auto"/>
              <w:rPr>
                <w:rFonts w:hint="eastAsia" w:ascii="仿宋_GB2312" w:eastAsia="仿宋_GB2312"/>
                <w:kern w:val="0"/>
                <w:sz w:val="32"/>
                <w:szCs w:val="32"/>
                <w:highlight w:val="none"/>
              </w:rPr>
            </w:pPr>
          </w:p>
        </w:tc>
        <w:tc>
          <w:tcPr>
            <w:tcW w:w="2147" w:type="dxa"/>
            <w:noWrap w:val="0"/>
            <w:vAlign w:val="top"/>
          </w:tcPr>
          <w:p>
            <w:pPr>
              <w:spacing w:line="360" w:lineRule="auto"/>
              <w:rPr>
                <w:rFonts w:hint="eastAsia" w:ascii="仿宋_GB2312" w:eastAsia="仿宋_GB2312"/>
                <w:kern w:val="0"/>
                <w:sz w:val="32"/>
                <w:szCs w:val="32"/>
                <w:highlight w:val="none"/>
              </w:rPr>
            </w:pPr>
          </w:p>
        </w:tc>
        <w:tc>
          <w:tcPr>
            <w:tcW w:w="2082" w:type="dxa"/>
            <w:noWrap w:val="0"/>
            <w:vAlign w:val="top"/>
          </w:tcPr>
          <w:p>
            <w:pPr>
              <w:spacing w:line="360" w:lineRule="auto"/>
              <w:rPr>
                <w:rFonts w:hint="eastAsia" w:ascii="仿宋_GB2312" w:eastAsia="仿宋_GB2312"/>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02" w:type="dxa"/>
            <w:noWrap w:val="0"/>
            <w:vAlign w:val="top"/>
          </w:tcPr>
          <w:p>
            <w:pPr>
              <w:spacing w:line="360" w:lineRule="auto"/>
              <w:rPr>
                <w:rFonts w:hint="eastAsia" w:ascii="仿宋_GB2312" w:hAnsi="宋体" w:eastAsia="仿宋_GB2312" w:cs="宋体"/>
                <w:kern w:val="0"/>
                <w:sz w:val="32"/>
                <w:szCs w:val="32"/>
                <w:highlight w:val="none"/>
              </w:rPr>
            </w:pPr>
          </w:p>
        </w:tc>
        <w:tc>
          <w:tcPr>
            <w:tcW w:w="1491" w:type="dxa"/>
            <w:noWrap w:val="0"/>
            <w:vAlign w:val="top"/>
          </w:tcPr>
          <w:p>
            <w:pPr>
              <w:spacing w:line="360" w:lineRule="auto"/>
              <w:rPr>
                <w:rFonts w:hint="eastAsia" w:ascii="仿宋_GB2312" w:hAnsi="宋体" w:eastAsia="仿宋_GB2312" w:cs="宋体"/>
                <w:kern w:val="0"/>
                <w:sz w:val="32"/>
                <w:szCs w:val="32"/>
                <w:highlight w:val="none"/>
              </w:rPr>
            </w:pPr>
          </w:p>
        </w:tc>
        <w:tc>
          <w:tcPr>
            <w:tcW w:w="2147" w:type="dxa"/>
            <w:noWrap w:val="0"/>
            <w:vAlign w:val="top"/>
          </w:tcPr>
          <w:p>
            <w:pPr>
              <w:spacing w:line="360" w:lineRule="auto"/>
              <w:rPr>
                <w:rFonts w:hint="eastAsia" w:ascii="仿宋_GB2312" w:hAnsi="宋体" w:eastAsia="仿宋_GB2312" w:cs="宋体"/>
                <w:kern w:val="0"/>
                <w:sz w:val="32"/>
                <w:szCs w:val="32"/>
                <w:highlight w:val="none"/>
              </w:rPr>
            </w:pPr>
          </w:p>
        </w:tc>
        <w:tc>
          <w:tcPr>
            <w:tcW w:w="2082" w:type="dxa"/>
            <w:noWrap w:val="0"/>
            <w:vAlign w:val="top"/>
          </w:tcPr>
          <w:p>
            <w:pPr>
              <w:spacing w:line="360" w:lineRule="auto"/>
              <w:rPr>
                <w:rFonts w:hint="eastAsia" w:ascii="仿宋_GB2312" w:hAnsi="宋体" w:eastAsia="仿宋_GB2312" w:cs="宋体"/>
                <w:kern w:val="0"/>
                <w:sz w:val="32"/>
                <w:szCs w:val="32"/>
                <w:highlight w:val="none"/>
              </w:rPr>
            </w:pPr>
          </w:p>
        </w:tc>
      </w:tr>
    </w:tbl>
    <w:p>
      <w:pPr>
        <w:spacing w:before="156" w:beforeLines="50" w:line="360" w:lineRule="auto"/>
        <w:rPr>
          <w:rFonts w:hint="eastAsia" w:ascii="仿宋_GB2312" w:eastAsia="仿宋_GB2312"/>
          <w:b/>
          <w:kern w:val="0"/>
          <w:sz w:val="32"/>
          <w:szCs w:val="32"/>
          <w:highlight w:val="none"/>
        </w:rPr>
      </w:pPr>
      <w:r>
        <w:rPr>
          <w:rFonts w:hint="eastAsia" w:ascii="仿宋_GB2312" w:eastAsia="仿宋_GB2312"/>
          <w:b/>
          <w:kern w:val="0"/>
          <w:sz w:val="32"/>
          <w:szCs w:val="32"/>
          <w:highlight w:val="none"/>
        </w:rPr>
        <w:t xml:space="preserve">B-4 </w:t>
      </w:r>
      <w:r>
        <w:rPr>
          <w:rFonts w:hint="eastAsia" w:ascii="仿宋_GB2312" w:hAnsi="宋体" w:eastAsia="仿宋_GB2312"/>
          <w:b/>
          <w:kern w:val="0"/>
          <w:sz w:val="32"/>
          <w:szCs w:val="32"/>
          <w:highlight w:val="none"/>
        </w:rPr>
        <w:t>委托人提供的设备</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jc w:val="center"/>
              <w:rPr>
                <w:rFonts w:hint="eastAsia" w:ascii="仿宋_GB2312" w:eastAsia="仿宋_GB2312"/>
                <w:sz w:val="32"/>
                <w:szCs w:val="32"/>
                <w:highlight w:val="none"/>
              </w:rPr>
            </w:pPr>
            <w:r>
              <w:rPr>
                <w:rFonts w:hint="eastAsia" w:ascii="仿宋_GB2312" w:hAnsi="宋体" w:eastAsia="仿宋_GB2312"/>
                <w:sz w:val="32"/>
                <w:szCs w:val="32"/>
                <w:highlight w:val="none"/>
              </w:rPr>
              <w:t>名称</w:t>
            </w:r>
          </w:p>
        </w:tc>
        <w:tc>
          <w:tcPr>
            <w:tcW w:w="1590" w:type="dxa"/>
            <w:noWrap w:val="0"/>
            <w:vAlign w:val="top"/>
          </w:tcPr>
          <w:p>
            <w:pPr>
              <w:spacing w:line="360" w:lineRule="auto"/>
              <w:jc w:val="center"/>
              <w:rPr>
                <w:rFonts w:hint="eastAsia" w:ascii="仿宋_GB2312" w:eastAsia="仿宋_GB2312"/>
                <w:sz w:val="32"/>
                <w:szCs w:val="32"/>
                <w:highlight w:val="none"/>
              </w:rPr>
            </w:pPr>
            <w:r>
              <w:rPr>
                <w:rFonts w:hint="eastAsia" w:ascii="仿宋_GB2312" w:hAnsi="宋体" w:eastAsia="仿宋_GB2312"/>
                <w:sz w:val="32"/>
                <w:szCs w:val="32"/>
                <w:highlight w:val="none"/>
              </w:rPr>
              <w:t>数量</w:t>
            </w:r>
          </w:p>
        </w:tc>
        <w:tc>
          <w:tcPr>
            <w:tcW w:w="2130" w:type="dxa"/>
            <w:noWrap w:val="0"/>
            <w:vAlign w:val="top"/>
          </w:tcPr>
          <w:p>
            <w:pPr>
              <w:spacing w:line="360" w:lineRule="auto"/>
              <w:jc w:val="center"/>
              <w:rPr>
                <w:rFonts w:hint="eastAsia" w:ascii="仿宋_GB2312" w:eastAsia="仿宋_GB2312"/>
                <w:sz w:val="32"/>
                <w:szCs w:val="32"/>
                <w:highlight w:val="none"/>
              </w:rPr>
            </w:pPr>
            <w:r>
              <w:rPr>
                <w:rFonts w:hint="eastAsia" w:ascii="仿宋_GB2312" w:hAnsi="宋体" w:eastAsia="仿宋_GB2312"/>
                <w:sz w:val="32"/>
                <w:szCs w:val="32"/>
                <w:highlight w:val="none"/>
              </w:rPr>
              <w:t>型号与规格</w:t>
            </w:r>
          </w:p>
        </w:tc>
        <w:tc>
          <w:tcPr>
            <w:tcW w:w="1860" w:type="dxa"/>
            <w:noWrap w:val="0"/>
            <w:vAlign w:val="top"/>
          </w:tcPr>
          <w:p>
            <w:pPr>
              <w:spacing w:line="360" w:lineRule="auto"/>
              <w:jc w:val="center"/>
              <w:rPr>
                <w:rFonts w:hint="eastAsia" w:ascii="仿宋_GB2312" w:eastAsia="仿宋_GB2312"/>
                <w:sz w:val="32"/>
                <w:szCs w:val="32"/>
                <w:highlight w:val="none"/>
              </w:rPr>
            </w:pPr>
            <w:r>
              <w:rPr>
                <w:rFonts w:hint="eastAsia" w:ascii="仿宋_GB2312" w:hAnsi="宋体" w:eastAsia="仿宋_GB2312"/>
                <w:sz w:val="32"/>
                <w:szCs w:val="32"/>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rPr>
                <w:rFonts w:hint="eastAsia" w:ascii="仿宋_GB2312" w:eastAsia="仿宋_GB2312"/>
                <w:sz w:val="32"/>
                <w:szCs w:val="32"/>
                <w:highlight w:val="none"/>
              </w:rPr>
            </w:pPr>
            <w:r>
              <w:rPr>
                <w:rFonts w:hint="eastAsia" w:ascii="仿宋_GB2312" w:eastAsia="仿宋_GB2312"/>
                <w:sz w:val="32"/>
                <w:szCs w:val="32"/>
                <w:highlight w:val="none"/>
              </w:rPr>
              <w:t xml:space="preserve">1. </w:t>
            </w:r>
            <w:r>
              <w:rPr>
                <w:rFonts w:hint="eastAsia" w:ascii="仿宋_GB2312" w:hAnsi="宋体" w:eastAsia="仿宋_GB2312"/>
                <w:sz w:val="32"/>
                <w:szCs w:val="32"/>
                <w:highlight w:val="none"/>
              </w:rPr>
              <w:t>通讯设备</w:t>
            </w:r>
          </w:p>
        </w:tc>
        <w:tc>
          <w:tcPr>
            <w:tcW w:w="1590" w:type="dxa"/>
            <w:noWrap w:val="0"/>
            <w:vAlign w:val="top"/>
          </w:tcPr>
          <w:p>
            <w:pPr>
              <w:spacing w:line="360" w:lineRule="auto"/>
              <w:rPr>
                <w:rFonts w:hint="eastAsia" w:ascii="仿宋_GB2312" w:eastAsia="仿宋_GB2312"/>
                <w:sz w:val="32"/>
                <w:szCs w:val="32"/>
                <w:highlight w:val="none"/>
              </w:rPr>
            </w:pPr>
          </w:p>
        </w:tc>
        <w:tc>
          <w:tcPr>
            <w:tcW w:w="2130" w:type="dxa"/>
            <w:noWrap w:val="0"/>
            <w:vAlign w:val="top"/>
          </w:tcPr>
          <w:p>
            <w:pPr>
              <w:spacing w:line="360" w:lineRule="auto"/>
              <w:rPr>
                <w:rFonts w:hint="eastAsia" w:ascii="仿宋_GB2312" w:eastAsia="仿宋_GB2312"/>
                <w:sz w:val="32"/>
                <w:szCs w:val="32"/>
                <w:highlight w:val="none"/>
              </w:rPr>
            </w:pPr>
          </w:p>
        </w:tc>
        <w:tc>
          <w:tcPr>
            <w:tcW w:w="1860" w:type="dxa"/>
            <w:noWrap w:val="0"/>
            <w:vAlign w:val="top"/>
          </w:tcPr>
          <w:p>
            <w:pPr>
              <w:spacing w:line="360" w:lineRule="auto"/>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rPr>
                <w:rFonts w:hint="eastAsia" w:ascii="仿宋_GB2312" w:eastAsia="仿宋_GB2312"/>
                <w:sz w:val="32"/>
                <w:szCs w:val="32"/>
                <w:highlight w:val="none"/>
              </w:rPr>
            </w:pPr>
            <w:r>
              <w:rPr>
                <w:rFonts w:hint="eastAsia" w:ascii="仿宋_GB2312" w:eastAsia="仿宋_GB2312"/>
                <w:sz w:val="32"/>
                <w:szCs w:val="32"/>
                <w:highlight w:val="none"/>
              </w:rPr>
              <w:t xml:space="preserve">2. </w:t>
            </w:r>
            <w:r>
              <w:rPr>
                <w:rFonts w:hint="eastAsia" w:ascii="仿宋_GB2312" w:hAnsi="宋体" w:eastAsia="仿宋_GB2312"/>
                <w:sz w:val="32"/>
                <w:szCs w:val="32"/>
                <w:highlight w:val="none"/>
              </w:rPr>
              <w:t>办公设备</w:t>
            </w:r>
          </w:p>
        </w:tc>
        <w:tc>
          <w:tcPr>
            <w:tcW w:w="1590" w:type="dxa"/>
            <w:noWrap w:val="0"/>
            <w:vAlign w:val="top"/>
          </w:tcPr>
          <w:p>
            <w:pPr>
              <w:spacing w:line="360" w:lineRule="auto"/>
              <w:rPr>
                <w:rFonts w:hint="eastAsia" w:ascii="仿宋_GB2312" w:eastAsia="仿宋_GB2312"/>
                <w:sz w:val="32"/>
                <w:szCs w:val="32"/>
                <w:highlight w:val="none"/>
              </w:rPr>
            </w:pPr>
          </w:p>
        </w:tc>
        <w:tc>
          <w:tcPr>
            <w:tcW w:w="2130" w:type="dxa"/>
            <w:noWrap w:val="0"/>
            <w:vAlign w:val="top"/>
          </w:tcPr>
          <w:p>
            <w:pPr>
              <w:spacing w:line="360" w:lineRule="auto"/>
              <w:rPr>
                <w:rFonts w:hint="eastAsia" w:ascii="仿宋_GB2312" w:eastAsia="仿宋_GB2312"/>
                <w:sz w:val="32"/>
                <w:szCs w:val="32"/>
                <w:highlight w:val="none"/>
              </w:rPr>
            </w:pPr>
          </w:p>
        </w:tc>
        <w:tc>
          <w:tcPr>
            <w:tcW w:w="1860" w:type="dxa"/>
            <w:noWrap w:val="0"/>
            <w:vAlign w:val="top"/>
          </w:tcPr>
          <w:p>
            <w:pPr>
              <w:spacing w:line="360" w:lineRule="auto"/>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rPr>
                <w:rFonts w:hint="eastAsia" w:ascii="仿宋_GB2312" w:eastAsia="仿宋_GB2312"/>
                <w:sz w:val="32"/>
                <w:szCs w:val="32"/>
                <w:highlight w:val="none"/>
              </w:rPr>
            </w:pPr>
            <w:r>
              <w:rPr>
                <w:rFonts w:hint="eastAsia" w:ascii="仿宋_GB2312" w:eastAsia="仿宋_GB2312"/>
                <w:sz w:val="32"/>
                <w:szCs w:val="32"/>
                <w:highlight w:val="none"/>
              </w:rPr>
              <w:t xml:space="preserve">3. </w:t>
            </w:r>
            <w:r>
              <w:rPr>
                <w:rFonts w:hint="eastAsia" w:ascii="仿宋_GB2312" w:hAnsi="宋体" w:eastAsia="仿宋_GB2312"/>
                <w:sz w:val="32"/>
                <w:szCs w:val="32"/>
                <w:highlight w:val="none"/>
              </w:rPr>
              <w:t>交通工具</w:t>
            </w:r>
          </w:p>
        </w:tc>
        <w:tc>
          <w:tcPr>
            <w:tcW w:w="1590" w:type="dxa"/>
            <w:noWrap w:val="0"/>
            <w:vAlign w:val="top"/>
          </w:tcPr>
          <w:p>
            <w:pPr>
              <w:spacing w:line="360" w:lineRule="auto"/>
              <w:rPr>
                <w:rFonts w:hint="eastAsia" w:ascii="仿宋_GB2312" w:eastAsia="仿宋_GB2312"/>
                <w:sz w:val="32"/>
                <w:szCs w:val="32"/>
                <w:highlight w:val="none"/>
              </w:rPr>
            </w:pPr>
          </w:p>
        </w:tc>
        <w:tc>
          <w:tcPr>
            <w:tcW w:w="2130" w:type="dxa"/>
            <w:noWrap w:val="0"/>
            <w:vAlign w:val="top"/>
          </w:tcPr>
          <w:p>
            <w:pPr>
              <w:spacing w:line="360" w:lineRule="auto"/>
              <w:rPr>
                <w:rFonts w:hint="eastAsia" w:ascii="仿宋_GB2312" w:eastAsia="仿宋_GB2312"/>
                <w:sz w:val="32"/>
                <w:szCs w:val="32"/>
                <w:highlight w:val="none"/>
              </w:rPr>
            </w:pPr>
          </w:p>
        </w:tc>
        <w:tc>
          <w:tcPr>
            <w:tcW w:w="1860" w:type="dxa"/>
            <w:noWrap w:val="0"/>
            <w:vAlign w:val="top"/>
          </w:tcPr>
          <w:p>
            <w:pPr>
              <w:spacing w:line="360" w:lineRule="auto"/>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rPr>
                <w:rFonts w:hint="eastAsia" w:ascii="仿宋_GB2312" w:eastAsia="仿宋_GB2312"/>
                <w:sz w:val="32"/>
                <w:szCs w:val="32"/>
                <w:highlight w:val="none"/>
              </w:rPr>
            </w:pPr>
            <w:r>
              <w:rPr>
                <w:rFonts w:hint="eastAsia" w:ascii="仿宋_GB2312" w:eastAsia="仿宋_GB2312"/>
                <w:sz w:val="32"/>
                <w:szCs w:val="32"/>
                <w:highlight w:val="none"/>
              </w:rPr>
              <w:t xml:space="preserve">4. </w:t>
            </w:r>
            <w:r>
              <w:rPr>
                <w:rFonts w:hint="eastAsia" w:ascii="仿宋_GB2312" w:hAnsi="宋体" w:eastAsia="仿宋_GB2312"/>
                <w:sz w:val="32"/>
                <w:szCs w:val="32"/>
                <w:highlight w:val="none"/>
              </w:rPr>
              <w:t>检测和试验设备</w:t>
            </w:r>
          </w:p>
        </w:tc>
        <w:tc>
          <w:tcPr>
            <w:tcW w:w="1590" w:type="dxa"/>
            <w:noWrap w:val="0"/>
            <w:vAlign w:val="top"/>
          </w:tcPr>
          <w:p>
            <w:pPr>
              <w:spacing w:line="360" w:lineRule="auto"/>
              <w:rPr>
                <w:rFonts w:hint="eastAsia" w:ascii="仿宋_GB2312" w:eastAsia="仿宋_GB2312"/>
                <w:sz w:val="32"/>
                <w:szCs w:val="32"/>
                <w:highlight w:val="none"/>
              </w:rPr>
            </w:pPr>
          </w:p>
        </w:tc>
        <w:tc>
          <w:tcPr>
            <w:tcW w:w="2130" w:type="dxa"/>
            <w:noWrap w:val="0"/>
            <w:vAlign w:val="top"/>
          </w:tcPr>
          <w:p>
            <w:pPr>
              <w:spacing w:line="360" w:lineRule="auto"/>
              <w:rPr>
                <w:rFonts w:hint="eastAsia" w:ascii="仿宋_GB2312" w:eastAsia="仿宋_GB2312"/>
                <w:sz w:val="32"/>
                <w:szCs w:val="32"/>
                <w:highlight w:val="none"/>
              </w:rPr>
            </w:pPr>
          </w:p>
        </w:tc>
        <w:tc>
          <w:tcPr>
            <w:tcW w:w="1860" w:type="dxa"/>
            <w:noWrap w:val="0"/>
            <w:vAlign w:val="top"/>
          </w:tcPr>
          <w:p>
            <w:pPr>
              <w:spacing w:line="360" w:lineRule="auto"/>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988" w:type="dxa"/>
            <w:noWrap w:val="0"/>
            <w:vAlign w:val="top"/>
          </w:tcPr>
          <w:p>
            <w:pPr>
              <w:spacing w:line="360" w:lineRule="auto"/>
              <w:rPr>
                <w:rFonts w:hint="eastAsia" w:ascii="仿宋_GB2312" w:hAnsi="宋体" w:eastAsia="仿宋_GB2312"/>
                <w:sz w:val="32"/>
                <w:szCs w:val="32"/>
                <w:highlight w:val="none"/>
              </w:rPr>
            </w:pPr>
          </w:p>
        </w:tc>
        <w:tc>
          <w:tcPr>
            <w:tcW w:w="1590" w:type="dxa"/>
            <w:noWrap w:val="0"/>
            <w:vAlign w:val="top"/>
          </w:tcPr>
          <w:p>
            <w:pPr>
              <w:spacing w:line="360" w:lineRule="auto"/>
              <w:rPr>
                <w:rFonts w:hint="eastAsia" w:ascii="仿宋_GB2312" w:hAnsi="宋体" w:eastAsia="仿宋_GB2312"/>
                <w:sz w:val="32"/>
                <w:szCs w:val="32"/>
                <w:highlight w:val="none"/>
              </w:rPr>
            </w:pPr>
          </w:p>
        </w:tc>
        <w:tc>
          <w:tcPr>
            <w:tcW w:w="2130" w:type="dxa"/>
            <w:noWrap w:val="0"/>
            <w:vAlign w:val="top"/>
          </w:tcPr>
          <w:p>
            <w:pPr>
              <w:spacing w:line="360" w:lineRule="auto"/>
              <w:rPr>
                <w:rFonts w:hint="eastAsia" w:ascii="仿宋_GB2312" w:hAnsi="宋体" w:eastAsia="仿宋_GB2312"/>
                <w:sz w:val="32"/>
                <w:szCs w:val="32"/>
                <w:highlight w:val="none"/>
              </w:rPr>
            </w:pPr>
          </w:p>
        </w:tc>
        <w:tc>
          <w:tcPr>
            <w:tcW w:w="1860" w:type="dxa"/>
            <w:noWrap w:val="0"/>
            <w:vAlign w:val="top"/>
          </w:tcPr>
          <w:p>
            <w:pPr>
              <w:spacing w:line="360" w:lineRule="auto"/>
              <w:rPr>
                <w:rFonts w:hint="eastAsia" w:ascii="仿宋_GB2312" w:hAnsi="宋体" w:eastAsia="仿宋_GB2312"/>
                <w:sz w:val="32"/>
                <w:szCs w:val="32"/>
                <w:highlight w:val="none"/>
              </w:rPr>
            </w:pPr>
          </w:p>
        </w:tc>
      </w:tr>
    </w:tbl>
    <w:p>
      <w:pPr>
        <w:spacing w:line="360" w:lineRule="auto"/>
        <w:rPr>
          <w:rFonts w:hint="eastAsia" w:ascii="仿宋_GB2312" w:eastAsia="仿宋_GB2312"/>
          <w:sz w:val="24"/>
          <w:highlight w:val="none"/>
        </w:rPr>
      </w:pPr>
    </w:p>
    <w:p>
      <w:pPr>
        <w:rPr>
          <w:highlight w:val="none"/>
        </w:rPr>
      </w:pPr>
    </w:p>
    <w:p>
      <w:pPr>
        <w:rPr>
          <w:rStyle w:val="53"/>
          <w:rFonts w:hint="eastAsia" w:ascii="Times New Roman" w:hAnsi="Times New Roman" w:eastAsia="宋体" w:cs="Times New Roman"/>
          <w:b/>
          <w:bCs/>
          <w:highlight w:val="none"/>
          <w:lang w:val="en-US" w:eastAsia="zh-CN" w:bidi="ar-SA"/>
        </w:rPr>
      </w:pPr>
      <w:r>
        <w:rPr>
          <w:rStyle w:val="53"/>
          <w:rFonts w:hint="eastAsia" w:ascii="Times New Roman" w:hAnsi="Times New Roman" w:eastAsia="宋体" w:cs="Times New Roman"/>
          <w:b/>
          <w:bCs/>
          <w:highlight w:val="none"/>
          <w:lang w:val="en-US" w:eastAsia="zh-CN" w:bidi="ar-SA"/>
        </w:rPr>
        <w:br w:type="page"/>
      </w:r>
    </w:p>
    <w:p>
      <w:pPr>
        <w:pStyle w:val="4"/>
        <w:keepNext/>
        <w:keepLines/>
        <w:pageBreakBefore w:val="0"/>
        <w:widowControl w:val="0"/>
        <w:kinsoku/>
        <w:wordWrap/>
        <w:overflowPunct/>
        <w:topLinePunct w:val="0"/>
        <w:autoSpaceDE/>
        <w:autoSpaceDN/>
        <w:bidi w:val="0"/>
        <w:adjustRightInd/>
        <w:snapToGrid/>
        <w:spacing w:before="200" w:after="180" w:line="360" w:lineRule="auto"/>
        <w:jc w:val="center"/>
        <w:textAlignment w:val="auto"/>
        <w:rPr>
          <w:rStyle w:val="53"/>
          <w:rFonts w:hint="default" w:ascii="Times New Roman" w:hAnsi="Times New Roman" w:eastAsia="宋体" w:cs="Times New Roman"/>
          <w:b/>
          <w:bCs/>
          <w:highlight w:val="none"/>
          <w:lang w:val="en-US" w:eastAsia="zh-CN" w:bidi="ar-SA"/>
        </w:rPr>
      </w:pPr>
      <w:bookmarkStart w:id="349" w:name="_Toc29946"/>
      <w:r>
        <w:rPr>
          <w:rStyle w:val="53"/>
          <w:rFonts w:hint="eastAsia" w:ascii="Times New Roman" w:hAnsi="Times New Roman" w:eastAsia="宋体" w:cs="Times New Roman"/>
          <w:b/>
          <w:bCs/>
          <w:highlight w:val="none"/>
          <w:lang w:val="en-US" w:eastAsia="zh-CN" w:bidi="ar-SA"/>
        </w:rPr>
        <w:t>第</w:t>
      </w:r>
      <w:r>
        <w:rPr>
          <w:rStyle w:val="53"/>
          <w:rFonts w:hint="eastAsia" w:cs="Times New Roman"/>
          <w:b/>
          <w:bCs/>
          <w:highlight w:val="none"/>
          <w:lang w:val="en-US" w:eastAsia="zh-CN" w:bidi="ar-SA"/>
        </w:rPr>
        <w:t>六</w:t>
      </w:r>
      <w:r>
        <w:rPr>
          <w:rStyle w:val="53"/>
          <w:rFonts w:hint="eastAsia" w:ascii="Times New Roman" w:hAnsi="Times New Roman" w:eastAsia="宋体" w:cs="Times New Roman"/>
          <w:b/>
          <w:bCs/>
          <w:highlight w:val="none"/>
          <w:lang w:val="en-US" w:eastAsia="zh-CN" w:bidi="ar-SA"/>
        </w:rPr>
        <w:t>章  委托人要求</w:t>
      </w:r>
      <w:bookmarkEnd w:id="349"/>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一、项目概况</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1、项目名称：郑州航空港经济综合实验区河东六号安置区第四幼儿园（瑞和幼儿园）建设项目监理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项目概况：项目位于</w:t>
      </w:r>
      <w:r>
        <w:rPr>
          <w:rFonts w:hint="eastAsia" w:ascii="宋体" w:hAnsi="宋体" w:cs="宋体"/>
          <w:color w:val="auto"/>
          <w:sz w:val="24"/>
          <w:szCs w:val="24"/>
          <w:highlight w:val="none"/>
          <w:lang w:eastAsia="zh-CN"/>
        </w:rPr>
        <w:t>郑州航空港经济综合实验区祥里路以北，瑞和街以东。建设规模为项目按 9 班全日制幼儿园建设，其中：大班 3 个，中班 3 个，小班3 个。小班（3 周岁——4 周岁）25 人/班；中班（4 周岁——5 周岁）30人/班；大班（5 周岁——6 周岁）35 人/班，本项目可纳生源 270 人。建设内容：项目规划占地面积 7329.97 ㎡（约合 10.99 亩），设计总建筑面积4100.00 ㎡，地上主楼建筑面积 3800.00 ㎡（1 栋 3 层），地下建筑面积300.00 ㎡（设备用房），同时配套建设大门、围墙、室外活动场地、道路硬化、绿化以及水、电、通讯等配套设施工程。</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3、监理</w:t>
      </w:r>
      <w:r>
        <w:rPr>
          <w:rFonts w:hint="eastAsia" w:ascii="宋体" w:hAnsi="宋体" w:cs="宋体"/>
          <w:color w:val="auto"/>
          <w:sz w:val="24"/>
          <w:szCs w:val="24"/>
          <w:highlight w:val="none"/>
          <w:lang w:eastAsia="zh-CN"/>
        </w:rPr>
        <w:t>范围：郑州航空港经济综合实验区河东六号安置区第四幼儿园（瑞和幼儿园）建设项目施工准备阶段、施工阶段、项目移交阶段及保修期全过程监理（包含本项目所有施工内容的监理(含人防工程）以及招标人平行发包的电力工程监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监理服务期限：提供项目施工准备阶段、施工阶段、项目移交阶段及保修期全过程监理；若出现施工合同工期延期，不计取监理延期费用。</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质量控制目标：符合国家现行施工质量验收合格标准。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二、监理报价及要求</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1、本项目采用固定总价的报价方式，投标报价应依据国家发展和改革委关于进一步放开建设项目专业服务价格的通知（发改价格〔2015〕299 号）规定、招标文件、招标文件澄清（答疑）纪要、招标文件修改补充通知等，结合本项目具体特点和技术要求、自身综合实力、市场行情等自主报价。</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投标人的投标报价，为监理服务期内所提供的全部服务所需要的费用。已综合包括了实施完成本项目全部监理工作所需的生活设施、劳务费、技术服务费、测量、交通、通讯、保险、税费和利润以及为完成本工程所提供的专用仪器、设备和设施等与监理业务有关的所有一切费用。</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3、投标人在报价时应考虑监理期间的物价上涨、政策性调整等风险因素。合同履行过程中的合同固定费率不予调整。</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4、监理服务费包含基本费、考核费两部分，其中基本费占 85%的比例，考核费占 15%的比例。</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三、监理工作内容及要求</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详见合同条款</w:t>
      </w:r>
    </w:p>
    <w:p>
      <w:p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br w:type="page"/>
      </w:r>
    </w:p>
    <w:p>
      <w:pPr>
        <w:pStyle w:val="4"/>
        <w:pageBreakBefore w:val="0"/>
        <w:kinsoku/>
        <w:overflowPunct/>
        <w:bidi w:val="0"/>
        <w:spacing w:line="360" w:lineRule="auto"/>
        <w:jc w:val="center"/>
        <w:rPr>
          <w:rFonts w:hint="eastAsia" w:ascii="宋体" w:hAnsi="宋体" w:eastAsia="宋体" w:cs="宋体"/>
          <w:color w:val="auto"/>
          <w:highlight w:val="none"/>
        </w:rPr>
      </w:pPr>
      <w:bookmarkStart w:id="350" w:name="_Toc21932"/>
      <w:bookmarkStart w:id="351" w:name="_Toc31548"/>
      <w:bookmarkStart w:id="352" w:name="_Toc31568"/>
      <w:bookmarkStart w:id="353" w:name="_Toc30808"/>
      <w:bookmarkStart w:id="354" w:name="_Toc9680"/>
      <w:bookmarkStart w:id="355" w:name="_Toc23826"/>
      <w:bookmarkStart w:id="356" w:name="_Toc6443"/>
      <w:r>
        <w:rPr>
          <w:rFonts w:hint="eastAsia" w:ascii="宋体" w:hAnsi="宋体" w:eastAsia="宋体" w:cs="宋体"/>
          <w:color w:val="auto"/>
          <w:highlight w:val="none"/>
        </w:rPr>
        <w:t>第</w:t>
      </w:r>
      <w:r>
        <w:rPr>
          <w:rFonts w:hint="eastAsia" w:ascii="宋体" w:hAnsi="宋体" w:cs="宋体"/>
          <w:color w:val="auto"/>
          <w:highlight w:val="none"/>
          <w:lang w:val="en-US" w:eastAsia="zh-CN"/>
        </w:rPr>
        <w:t>七</w:t>
      </w:r>
      <w:r>
        <w:rPr>
          <w:rFonts w:hint="eastAsia" w:ascii="宋体" w:hAnsi="宋体" w:eastAsia="宋体" w:cs="宋体"/>
          <w:color w:val="auto"/>
          <w:highlight w:val="none"/>
        </w:rPr>
        <w:t>章  投标文件格式</w:t>
      </w:r>
      <w:bookmarkEnd w:id="350"/>
      <w:bookmarkEnd w:id="351"/>
      <w:bookmarkEnd w:id="352"/>
      <w:bookmarkEnd w:id="353"/>
      <w:bookmarkEnd w:id="354"/>
      <w:bookmarkEnd w:id="355"/>
      <w:bookmarkEnd w:id="356"/>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注：（1）</w:t>
      </w:r>
      <w:r>
        <w:rPr>
          <w:rFonts w:hint="eastAsia" w:ascii="宋体" w:hAnsi="宋体" w:cs="宋体"/>
          <w:color w:val="auto"/>
          <w:sz w:val="24"/>
          <w:szCs w:val="24"/>
          <w:highlight w:val="none"/>
          <w:lang w:eastAsia="zh-CN"/>
        </w:rPr>
        <w:t>格式中除投标函及投标函附录外，其他部分投标人可以根据实际情况自行调整，而不会导致否决投标。投标文件组成中单独的投标函格式以系统给定的格式为准，投标正文部分的投标函及投标函附录格式以本章所附格式为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投标文件格式中要求的内容，投标人可以根据自身情况填写，若某项内容没有，可不填。若未填写的内容为得分项，该项不得分。</w:t>
      </w:r>
    </w:p>
    <w:p>
      <w:pP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br w:type="page"/>
      </w:r>
    </w:p>
    <w:bookmarkEnd w:id="335"/>
    <w:bookmarkEnd w:id="336"/>
    <w:p>
      <w:pPr>
        <w:spacing w:before="339" w:line="222" w:lineRule="auto"/>
        <w:jc w:val="both"/>
        <w:rPr>
          <w:rFonts w:hint="eastAsia" w:ascii="仿宋" w:hAnsi="仿宋" w:eastAsia="仿宋" w:cs="仿宋"/>
          <w:spacing w:val="18"/>
          <w:sz w:val="38"/>
          <w:szCs w:val="38"/>
          <w:highlight w:val="none"/>
          <w:lang w:val="en-US" w:eastAsia="zh-CN"/>
        </w:rPr>
      </w:pPr>
    </w:p>
    <w:p>
      <w:pPr>
        <w:spacing w:before="339" w:line="222" w:lineRule="auto"/>
        <w:jc w:val="center"/>
        <w:outlineLvl w:val="1"/>
        <w:rPr>
          <w:rFonts w:hint="default" w:ascii="宋体" w:hAnsi="宋体" w:eastAsia="宋体" w:cs="宋体"/>
          <w:b/>
          <w:bCs/>
          <w:color w:val="auto"/>
          <w:kern w:val="44"/>
          <w:sz w:val="44"/>
          <w:szCs w:val="44"/>
          <w:highlight w:val="none"/>
          <w:lang w:val="en-US" w:eastAsia="zh-CN" w:bidi="ar-SA"/>
        </w:rPr>
      </w:pPr>
      <w:bookmarkStart w:id="357" w:name="_Toc26425"/>
      <w:r>
        <w:rPr>
          <w:rFonts w:hint="eastAsia" w:ascii="宋体" w:hAnsi="宋体" w:cs="宋体"/>
          <w:b/>
          <w:bCs/>
          <w:color w:val="auto"/>
          <w:kern w:val="44"/>
          <w:sz w:val="44"/>
          <w:szCs w:val="44"/>
          <w:highlight w:val="none"/>
          <w:lang w:val="en-US" w:eastAsia="zh-CN" w:bidi="ar-SA"/>
        </w:rPr>
        <w:t>郑州航空港经济综合实验区河东六号安置区第四幼儿园（瑞和幼儿园）建设项目监理</w:t>
      </w:r>
      <w:bookmarkEnd w:id="357"/>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5" w:lineRule="auto"/>
        <w:rPr>
          <w:rFonts w:ascii="Arial"/>
          <w:sz w:val="21"/>
          <w:highlight w:val="none"/>
        </w:rPr>
      </w:pPr>
    </w:p>
    <w:p>
      <w:pPr>
        <w:spacing w:line="256" w:lineRule="auto"/>
        <w:rPr>
          <w:rFonts w:ascii="Arial"/>
          <w:sz w:val="21"/>
          <w:highlight w:val="none"/>
        </w:rPr>
      </w:pPr>
    </w:p>
    <w:p>
      <w:pPr>
        <w:spacing w:before="325" w:line="222" w:lineRule="auto"/>
        <w:jc w:val="center"/>
        <w:rPr>
          <w:rFonts w:ascii="仿宋" w:hAnsi="仿宋" w:eastAsia="仿宋" w:cs="仿宋"/>
          <w:sz w:val="100"/>
          <w:szCs w:val="100"/>
          <w:highlight w:val="none"/>
        </w:rPr>
      </w:pPr>
      <w:r>
        <w:rPr>
          <w:rFonts w:hint="default" w:ascii="宋体" w:hAnsi="宋体" w:eastAsia="宋体" w:cs="宋体"/>
          <w:b/>
          <w:bCs/>
          <w:color w:val="auto"/>
          <w:kern w:val="44"/>
          <w:sz w:val="100"/>
          <w:szCs w:val="100"/>
          <w:highlight w:val="none"/>
          <w:lang w:val="en-US" w:eastAsia="zh-CN" w:bidi="ar-SA"/>
        </w:rPr>
        <w:t>投 标 文 件</w:t>
      </w: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4"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spacing w:line="245" w:lineRule="auto"/>
        <w:rPr>
          <w:rFonts w:ascii="Arial"/>
          <w:sz w:val="21"/>
          <w:highlight w:val="none"/>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（盖单位公章）</w:t>
      </w:r>
    </w:p>
    <w:p>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法定代表人或其委托代理人：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（签字或盖章）</w:t>
      </w:r>
    </w:p>
    <w:p>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cs="宋体"/>
          <w:color w:val="auto"/>
          <w:sz w:val="24"/>
          <w:szCs w:val="24"/>
          <w:highlight w:val="none"/>
          <w:lang w:eastAsia="zh-CN"/>
        </w:rPr>
        <w:sectPr>
          <w:headerReference r:id="rId9" w:type="default"/>
          <w:footerReference r:id="rId10" w:type="default"/>
          <w:pgSz w:w="11911" w:h="16838"/>
          <w:pgMar w:top="1440" w:right="1083" w:bottom="1440" w:left="1083" w:header="1157" w:footer="737" w:gutter="0"/>
          <w:pgNumType w:fmt="decimal"/>
          <w:cols w:space="0" w:num="1"/>
          <w:rtlGutter w:val="0"/>
          <w:docGrid w:linePitch="0" w:charSpace="0"/>
        </w:sectPr>
      </w:pPr>
    </w:p>
    <w:p>
      <w:pPr>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cs="宋体"/>
          <w:color w:val="auto"/>
          <w:sz w:val="24"/>
          <w:szCs w:val="24"/>
          <w:highlight w:val="none"/>
          <w:lang w:eastAsia="zh-CN"/>
        </w:rPr>
      </w:pPr>
      <w:r>
        <w:rPr>
          <w:rFonts w:hint="eastAsia" w:ascii="宋体" w:hAnsi="宋体" w:cs="宋体"/>
          <w:b/>
          <w:bCs/>
          <w:color w:val="auto"/>
          <w:sz w:val="28"/>
          <w:szCs w:val="28"/>
          <w:highlight w:val="none"/>
          <w:lang w:eastAsia="zh-CN"/>
        </w:rPr>
        <w:t>目  录</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一、投标函及投标函附录</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二、法定代表人身份证明及授权委托书</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三、投标保证金交付证明</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监理大纲</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lang w:eastAsia="zh-CN"/>
        </w:rPr>
        <w:t>、资格审查资料</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lang w:eastAsia="zh-CN"/>
        </w:rPr>
        <w:t>、服务承诺</w:t>
      </w:r>
      <w:r>
        <w:rPr>
          <w:rFonts w:hint="eastAsia" w:ascii="宋体" w:hAnsi="宋体" w:cs="宋体"/>
          <w:color w:val="auto"/>
          <w:sz w:val="24"/>
          <w:szCs w:val="24"/>
          <w:highlight w:val="none"/>
          <w:lang w:val="en-US" w:eastAsia="zh-CN"/>
        </w:rPr>
        <w:t>及合理化建议</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lang w:eastAsia="zh-CN"/>
        </w:rPr>
        <w:t>、其他资料</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sectPr>
          <w:footerReference r:id="rId11" w:type="default"/>
          <w:pgSz w:w="11911" w:h="16838"/>
          <w:pgMar w:top="1440" w:right="1083" w:bottom="1440" w:left="1083" w:header="1157" w:footer="737" w:gutter="0"/>
          <w:pgNumType w:fmt="decimal"/>
          <w:cols w:space="0" w:num="1"/>
          <w:rtlGutter w:val="0"/>
          <w:docGrid w:linePitch="0" w:charSpace="0"/>
        </w:sectPr>
      </w:pPr>
    </w:p>
    <w:p>
      <w:pPr>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cs="宋体"/>
          <w:b/>
          <w:bCs/>
          <w:color w:val="auto"/>
          <w:sz w:val="28"/>
          <w:szCs w:val="28"/>
          <w:highlight w:val="none"/>
          <w:lang w:eastAsia="zh-CN"/>
        </w:rPr>
      </w:pPr>
      <w:r>
        <w:rPr>
          <w:rFonts w:hint="eastAsia" w:ascii="宋体" w:hAnsi="宋体" w:cs="宋体"/>
          <w:b/>
          <w:bCs/>
          <w:color w:val="auto"/>
          <w:sz w:val="32"/>
          <w:szCs w:val="32"/>
          <w:highlight w:val="none"/>
          <w:lang w:eastAsia="zh-CN"/>
        </w:rPr>
        <w:t>一 、投标函及投标函附录</w:t>
      </w:r>
    </w:p>
    <w:p>
      <w:pPr>
        <w:pageBreakBefore w:val="0"/>
        <w:widowControl w:val="0"/>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cs="宋体"/>
          <w:b/>
          <w:bCs/>
          <w:color w:val="auto"/>
          <w:sz w:val="28"/>
          <w:szCs w:val="28"/>
          <w:highlight w:val="none"/>
          <w:lang w:eastAsia="zh-CN"/>
        </w:rPr>
      </w:pPr>
      <w:bookmarkStart w:id="358" w:name="_Toc32152"/>
      <w:bookmarkStart w:id="359" w:name="_Toc4488"/>
      <w:r>
        <w:rPr>
          <w:rFonts w:hint="eastAsia" w:ascii="宋体" w:hAnsi="宋体" w:cs="宋体"/>
          <w:b/>
          <w:bCs/>
          <w:color w:val="auto"/>
          <w:sz w:val="28"/>
          <w:szCs w:val="28"/>
          <w:highlight w:val="none"/>
          <w:lang w:eastAsia="zh-CN"/>
        </w:rPr>
        <w:t>（一）投标函</w:t>
      </w:r>
      <w:bookmarkEnd w:id="358"/>
      <w:bookmarkEnd w:id="359"/>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致：</w:t>
      </w:r>
      <w:r>
        <w:rPr>
          <w:rFonts w:hint="eastAsia" w:ascii="宋体" w:hAnsi="宋体" w:cs="宋体"/>
          <w:strike w:val="0"/>
          <w:dstrike w:val="0"/>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（招标人名称）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我方已仔细研究了</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项目名称</w:t>
      </w:r>
      <w:r>
        <w:rPr>
          <w:rFonts w:hint="eastAsia" w:ascii="宋体" w:hAnsi="宋体" w:cs="宋体"/>
          <w:color w:val="auto"/>
          <w:sz w:val="24"/>
          <w:szCs w:val="24"/>
          <w:highlight w:val="none"/>
          <w:lang w:eastAsia="zh-CN"/>
        </w:rPr>
        <w:t>）招标文件的全部内容，愿按照招标文件中规定的条款和要求，完成本项目。投标总报价为（大写）</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元 ) , 工期（交货期/监理周期/设计周期）为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 质量</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项目负责人（项目总监）</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我方承诺在投标有效期内不修改、撤销投标文件。</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投标保证金已按招标文件规定提交，金额为人民币（大写）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元 )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如我方中标：</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（1）我方承诺在收到中标通知书后，在中标通知书规定的期限内与你方签订合同。</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（2）随同本投标函递交的投标函附录属于合同文件的组成部分。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（3）我方承诺按照招标文件规定向你方递交履约担保。</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（4）我方承诺在合同约定的期限内完成本项目。</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（5）我方承诺依据招标文件及时缴纳代理服务。</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我方在此声明，所递交的投标文件及有关资料内容完整、真实和准确。</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6、</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（其他补充说明）。</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投标人 ( 盖 章 ) ;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法定代表人或委托代理人（签字或盖章）;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 xml:space="preserve">日 期：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sectPr>
          <w:footerReference r:id="rId12" w:type="default"/>
          <w:pgSz w:w="11911" w:h="16838"/>
          <w:pgMar w:top="1440" w:right="1083" w:bottom="1440" w:left="1083" w:header="1157" w:footer="737" w:gutter="0"/>
          <w:pgNumType w:fmt="decimal"/>
          <w:cols w:space="0" w:num="1"/>
          <w:rtlGutter w:val="0"/>
          <w:docGrid w:linePitch="0" w:charSpace="0"/>
        </w:sectPr>
      </w:pPr>
    </w:p>
    <w:p>
      <w:pPr>
        <w:pageBreakBefore w:val="0"/>
        <w:widowControl w:val="0"/>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cs="宋体"/>
          <w:color w:val="auto"/>
          <w:sz w:val="24"/>
          <w:szCs w:val="24"/>
          <w:highlight w:val="none"/>
          <w:lang w:eastAsia="zh-CN"/>
        </w:rPr>
      </w:pPr>
      <w:bookmarkStart w:id="360" w:name="_Toc26539"/>
      <w:bookmarkStart w:id="361" w:name="_Toc14066"/>
      <w:r>
        <w:rPr>
          <w:rFonts w:hint="eastAsia" w:ascii="宋体" w:hAnsi="宋体" w:cs="宋体"/>
          <w:b/>
          <w:bCs/>
          <w:color w:val="auto"/>
          <w:sz w:val="28"/>
          <w:szCs w:val="28"/>
          <w:highlight w:val="none"/>
          <w:lang w:eastAsia="zh-CN"/>
        </w:rPr>
        <w:t>（二）投标函附录</w:t>
      </w:r>
      <w:bookmarkEnd w:id="360"/>
      <w:bookmarkEnd w:id="361"/>
    </w:p>
    <w:tbl>
      <w:tblPr>
        <w:tblStyle w:val="96"/>
        <w:tblW w:w="9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项目名称</w:t>
            </w:r>
          </w:p>
        </w:tc>
        <w:tc>
          <w:tcPr>
            <w:tcW w:w="6457"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投标人</w:t>
            </w:r>
          </w:p>
        </w:tc>
        <w:tc>
          <w:tcPr>
            <w:tcW w:w="6457"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投标范围</w:t>
            </w:r>
          </w:p>
        </w:tc>
        <w:tc>
          <w:tcPr>
            <w:tcW w:w="6457"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left"/>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郑州航空港经济综合实验区河东六号安置区第四幼儿园（瑞和幼儿园）建设项目施工准备阶段、施工阶段、项目移交阶段及保修期全过程监理（包含本项目所有施工内容的监理(含人防工程）以及招标人平行发包的电力工程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项目总监</w:t>
            </w:r>
          </w:p>
        </w:tc>
        <w:tc>
          <w:tcPr>
            <w:tcW w:w="6457"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left"/>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监理服务期限</w:t>
            </w:r>
          </w:p>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（监理周期）</w:t>
            </w:r>
          </w:p>
        </w:tc>
        <w:tc>
          <w:tcPr>
            <w:tcW w:w="6457"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left"/>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提供项目施工准备阶段、施工阶段、项目移交阶段及保修期全过程监理；</w:t>
            </w:r>
          </w:p>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left"/>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若出现施工合同工期延期，不计取监理延期费用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投标报价（含增值税）</w:t>
            </w:r>
          </w:p>
        </w:tc>
        <w:tc>
          <w:tcPr>
            <w:tcW w:w="6457"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left"/>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大写：           小写：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质量控制目标（质量）</w:t>
            </w:r>
          </w:p>
        </w:tc>
        <w:tc>
          <w:tcPr>
            <w:tcW w:w="6457"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left"/>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符合国家现行施工质量验收合格标准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投标有效期</w:t>
            </w:r>
          </w:p>
        </w:tc>
        <w:tc>
          <w:tcPr>
            <w:tcW w:w="6457"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权利义务</w:t>
            </w:r>
          </w:p>
        </w:tc>
        <w:tc>
          <w:tcPr>
            <w:tcW w:w="6457"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符合第五章“合同条款及格式”的相关规定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268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c>
          <w:tcPr>
            <w:tcW w:w="6457"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5" w:hRule="atLeast"/>
          <w:jc w:val="center"/>
        </w:trPr>
        <w:tc>
          <w:tcPr>
            <w:tcW w:w="9139"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left"/>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其他：（1）投标函填写报价为含税总报价，投标函与投标函附录不一致的，以投标函附录为准。</w:t>
            </w:r>
          </w:p>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left"/>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（2）我方在此声明，所递交的投标文件及有关资料内容完整、真实和准确。且不存在第二章“投标人须知”第 1.4.3 项规定的任何一种情形，权利义务响应第五章“合同条款及格式”规定，完全响应第六章“委托人要求”和招标文件要求。</w:t>
            </w:r>
          </w:p>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left"/>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（3）上述填写响应内容仅供参考，投标函附录在满足招标文件实质性要求的基础上，可以提出比招标文件要求更有利于招标人的承诺。</w:t>
            </w:r>
          </w:p>
        </w:tc>
      </w:tr>
    </w:tbl>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 标 人 ：</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（盖单位公章）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法定代表人或其委托代理人：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（签字或盖章）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highlight w:val="none"/>
        </w:rPr>
        <w:sectPr>
          <w:footerReference r:id="rId13" w:type="default"/>
          <w:pgSz w:w="11911" w:h="16838"/>
          <w:pgMar w:top="1440" w:right="1083" w:bottom="1440" w:left="1083" w:header="1157" w:footer="737" w:gutter="0"/>
          <w:pgNumType w:fmt="decimal"/>
          <w:cols w:space="0" w:num="1"/>
          <w:rtlGutter w:val="0"/>
          <w:docGrid w:linePitch="0" w:charSpace="0"/>
        </w:sect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ab/>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日</w:t>
      </w:r>
    </w:p>
    <w:p>
      <w:pPr>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cs="宋体"/>
          <w:color w:val="auto"/>
          <w:sz w:val="24"/>
          <w:szCs w:val="24"/>
          <w:highlight w:val="none"/>
          <w:lang w:eastAsia="zh-CN"/>
        </w:rPr>
      </w:pPr>
      <w:r>
        <w:rPr>
          <w:rFonts w:hint="eastAsia" w:ascii="宋体" w:hAnsi="宋体" w:cs="宋体"/>
          <w:b/>
          <w:bCs/>
          <w:color w:val="auto"/>
          <w:sz w:val="32"/>
          <w:szCs w:val="32"/>
          <w:highlight w:val="none"/>
          <w:lang w:eastAsia="zh-CN"/>
        </w:rPr>
        <w:t>二 、法定代表人身份证明及授权委托书</w:t>
      </w:r>
    </w:p>
    <w:p>
      <w:pPr>
        <w:pageBreakBefore w:val="0"/>
        <w:widowControl w:val="0"/>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cs="宋体"/>
          <w:b/>
          <w:bCs/>
          <w:color w:val="auto"/>
          <w:sz w:val="28"/>
          <w:szCs w:val="28"/>
          <w:highlight w:val="none"/>
          <w:lang w:eastAsia="zh-CN"/>
        </w:rPr>
      </w:pPr>
      <w:bookmarkStart w:id="362" w:name="_Toc24399"/>
      <w:bookmarkStart w:id="363" w:name="_Toc17657"/>
      <w:r>
        <w:rPr>
          <w:rFonts w:hint="eastAsia" w:ascii="宋体" w:hAnsi="宋体" w:cs="宋体"/>
          <w:b/>
          <w:bCs/>
          <w:color w:val="auto"/>
          <w:sz w:val="28"/>
          <w:szCs w:val="28"/>
          <w:highlight w:val="none"/>
          <w:lang w:eastAsia="zh-CN"/>
        </w:rPr>
        <w:t>（一）法定代表人身份证明书</w:t>
      </w:r>
      <w:bookmarkEnd w:id="362"/>
      <w:bookmarkEnd w:id="363"/>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single"/>
          <w:lang w:eastAsia="zh-CN"/>
        </w:rPr>
      </w:pPr>
      <w:r>
        <w:rPr>
          <w:rFonts w:hint="eastAsia" w:ascii="宋体" w:hAnsi="宋体" w:cs="宋体"/>
          <w:color w:val="auto"/>
          <w:sz w:val="24"/>
          <w:szCs w:val="24"/>
          <w:highlight w:val="none"/>
          <w:lang w:eastAsia="zh-CN"/>
        </w:rPr>
        <w:t>投标人名称：</w:t>
      </w:r>
      <w:r>
        <w:rPr>
          <w:rFonts w:hint="eastAsia" w:ascii="宋体" w:hAnsi="宋体" w:cs="宋体"/>
          <w:color w:val="auto"/>
          <w:sz w:val="24"/>
          <w:szCs w:val="24"/>
          <w:highlight w:val="none"/>
          <w:u w:val="single"/>
          <w:lang w:eastAsia="zh-CN"/>
        </w:rPr>
        <w:t xml:space="preserve">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single"/>
          <w:lang w:eastAsia="zh-CN"/>
        </w:rPr>
      </w:pPr>
      <w:r>
        <w:rPr>
          <w:rFonts w:hint="eastAsia" w:ascii="宋体" w:hAnsi="宋体" w:cs="宋体"/>
          <w:color w:val="auto"/>
          <w:sz w:val="24"/>
          <w:szCs w:val="24"/>
          <w:highlight w:val="none"/>
          <w:lang w:eastAsia="zh-CN"/>
        </w:rPr>
        <w:t>地址：</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 xml:space="preserve">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成立时间：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single"/>
          <w:lang w:eastAsia="zh-CN"/>
        </w:rPr>
      </w:pPr>
      <w:r>
        <w:rPr>
          <w:rFonts w:hint="eastAsia" w:ascii="宋体" w:hAnsi="宋体" w:cs="宋体"/>
          <w:color w:val="auto"/>
          <w:sz w:val="24"/>
          <w:szCs w:val="24"/>
          <w:highlight w:val="none"/>
          <w:lang w:eastAsia="zh-CN"/>
        </w:rPr>
        <w:t>姓名：</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性别：</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年龄：</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职务：</w:t>
      </w:r>
      <w:r>
        <w:rPr>
          <w:rFonts w:hint="eastAsia" w:ascii="宋体" w:hAnsi="宋体" w:cs="宋体"/>
          <w:color w:val="auto"/>
          <w:sz w:val="24"/>
          <w:szCs w:val="24"/>
          <w:highlight w:val="none"/>
          <w:u w:val="single"/>
          <w:lang w:eastAsia="zh-CN"/>
        </w:rPr>
        <w:t xml:space="preserve">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系</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（投标人名称）的法定代表人。</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（法人身份证正反两面）</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特此证明。</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                  （盖单位公章）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日</w:t>
      </w:r>
    </w:p>
    <w:p>
      <w:pPr>
        <w:jc w:val="right"/>
        <w:rPr>
          <w:highlight w:val="none"/>
        </w:rPr>
        <w:sectPr>
          <w:footerReference r:id="rId14" w:type="default"/>
          <w:pgSz w:w="11911" w:h="16838"/>
          <w:pgMar w:top="1440" w:right="1083" w:bottom="1440" w:left="1083" w:header="1157" w:footer="737" w:gutter="0"/>
          <w:pgNumType w:fmt="decimal"/>
          <w:cols w:space="0" w:num="1"/>
          <w:rtlGutter w:val="0"/>
          <w:docGrid w:linePitch="0" w:charSpace="0"/>
        </w:sectPr>
      </w:pPr>
    </w:p>
    <w:p>
      <w:pPr>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cs="宋体"/>
          <w:b/>
          <w:bCs/>
          <w:color w:val="auto"/>
          <w:sz w:val="28"/>
          <w:szCs w:val="28"/>
          <w:highlight w:val="none"/>
          <w:lang w:eastAsia="zh-CN"/>
        </w:rPr>
      </w:pPr>
      <w:bookmarkStart w:id="364" w:name="_Toc22438"/>
      <w:bookmarkStart w:id="365" w:name="_Toc21699"/>
      <w:r>
        <w:rPr>
          <w:rFonts w:hint="eastAsia" w:ascii="宋体" w:hAnsi="宋体" w:cs="宋体"/>
          <w:b/>
          <w:bCs/>
          <w:color w:val="auto"/>
          <w:sz w:val="28"/>
          <w:szCs w:val="28"/>
          <w:highlight w:val="none"/>
          <w:lang w:eastAsia="zh-CN"/>
        </w:rPr>
        <w:t>（二）授权委托书</w:t>
      </w:r>
      <w:bookmarkEnd w:id="364"/>
      <w:bookmarkEnd w:id="365"/>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本人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（姓名）系</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（投标人名称）的法定代表人，现委托</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（姓名）为我 方代理人。代理人根据授权，以我方名义签署、澄清、说明、补正、递交、撤回、修改</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（项目名称）投标文件、签订合同和处理有关事宜，其法律后果由我方承担。</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委托期限：自本授权委托书签署之日起至本项目投标有效期满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代理人无转委托权。</w:t>
      </w: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2"/>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附：法定代表人及法定代表人授权委托人身份证</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（盖单位公章）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法定代表人：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（签字或盖章）</w:t>
      </w:r>
    </w:p>
    <w:p>
      <w:pPr>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身份证号码：</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3840" w:firstLineChars="1600"/>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委托代理人：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（签字或盖章）</w:t>
      </w:r>
    </w:p>
    <w:p>
      <w:pPr>
        <w:pageBreakBefore w:val="0"/>
        <w:widowControl w:val="0"/>
        <w:kinsoku/>
        <w:wordWrap/>
        <w:overflowPunct/>
        <w:topLinePunct w:val="0"/>
        <w:autoSpaceDE/>
        <w:autoSpaceDN/>
        <w:bidi w:val="0"/>
        <w:adjustRightInd/>
        <w:snapToGrid/>
        <w:spacing w:line="360" w:lineRule="auto"/>
        <w:ind w:firstLine="3840" w:firstLineChars="1600"/>
        <w:jc w:val="lef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身份证号码：</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ab/>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eastAsia="zh-CN"/>
        </w:rPr>
        <w:sectPr>
          <w:footerReference r:id="rId15" w:type="default"/>
          <w:pgSz w:w="11911" w:h="16838"/>
          <w:pgMar w:top="1440" w:right="1083" w:bottom="1440" w:left="1083" w:header="1157" w:footer="737" w:gutter="0"/>
          <w:pgNumType w:fmt="decimal"/>
          <w:cols w:space="0" w:num="1"/>
          <w:rtlGutter w:val="0"/>
          <w:docGrid w:linePitch="0" w:charSpace="0"/>
        </w:sectPr>
      </w:pPr>
    </w:p>
    <w:p>
      <w:pPr>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三、 投标保证金</w:t>
      </w:r>
    </w:p>
    <w:p>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附投标保证金缴款证明复印件和企业基本户开户许可证复印件（已取消基本户开户许可证的企业应附存款账户信息）或保函</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sectPr>
          <w:footerReference r:id="rId16" w:type="default"/>
          <w:pgSz w:w="11911" w:h="16838"/>
          <w:pgMar w:top="1440" w:right="1083" w:bottom="1440" w:left="1083" w:header="1157" w:footer="737" w:gutter="0"/>
          <w:pgNumType w:fmt="decimal"/>
          <w:cols w:space="0" w:num="1"/>
          <w:rtlGutter w:val="0"/>
          <w:docGrid w:linePitch="0" w:charSpace="0"/>
        </w:sectPr>
      </w:pPr>
    </w:p>
    <w:p>
      <w:pPr>
        <w:spacing w:line="188" w:lineRule="exact"/>
        <w:rPr>
          <w:highlight w:val="none"/>
        </w:rPr>
      </w:pPr>
    </w:p>
    <w:p>
      <w:pPr>
        <w:spacing w:before="155" w:line="224" w:lineRule="auto"/>
        <w:ind w:left="94"/>
        <w:jc w:val="center"/>
        <w:outlineLvl w:val="2"/>
        <w:rPr>
          <w:rFonts w:hint="default" w:ascii="宋体" w:hAnsi="宋体" w:cs="宋体"/>
          <w:b/>
          <w:bCs/>
          <w:color w:val="auto"/>
          <w:sz w:val="32"/>
          <w:szCs w:val="32"/>
          <w:highlight w:val="none"/>
          <w:u w:val="none"/>
          <w:lang w:val="en-US" w:eastAsia="zh-CN"/>
        </w:rPr>
      </w:pPr>
      <w:r>
        <w:rPr>
          <w:rFonts w:hint="eastAsia" w:ascii="宋体" w:hAnsi="宋体" w:cs="宋体"/>
          <w:b/>
          <w:bCs/>
          <w:color w:val="auto"/>
          <w:sz w:val="32"/>
          <w:szCs w:val="32"/>
          <w:highlight w:val="none"/>
          <w:u w:val="none"/>
          <w:lang w:val="en-US" w:eastAsia="zh-CN"/>
        </w:rPr>
        <w:t>四</w:t>
      </w:r>
      <w:r>
        <w:rPr>
          <w:rFonts w:hint="eastAsia" w:ascii="宋体" w:hAnsi="宋体" w:cs="宋体"/>
          <w:b/>
          <w:bCs/>
          <w:color w:val="auto"/>
          <w:sz w:val="32"/>
          <w:szCs w:val="32"/>
          <w:highlight w:val="none"/>
          <w:u w:val="none"/>
          <w:lang w:eastAsia="zh-CN"/>
        </w:rPr>
        <w:t xml:space="preserve">、 </w:t>
      </w:r>
      <w:r>
        <w:rPr>
          <w:rFonts w:hint="eastAsia" w:ascii="宋体" w:hAnsi="宋体" w:cs="宋体"/>
          <w:b/>
          <w:bCs/>
          <w:color w:val="auto"/>
          <w:sz w:val="32"/>
          <w:szCs w:val="32"/>
          <w:highlight w:val="none"/>
          <w:u w:val="none"/>
          <w:lang w:val="en-US" w:eastAsia="zh-CN"/>
        </w:rPr>
        <w:t>监理大纲</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 xml:space="preserve">包括但不限于以下内容：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 xml:space="preserve">（1）工程概况与特点分析，监理范围、内容、目标、依据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 xml:space="preserve">（2）监理工作重点、难点分析及措施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 xml:space="preserve">（3）投资控制的措施和方法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 xml:space="preserve">（4）监理机构设置和岗位职责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 xml:space="preserve">（5）监理工作程序、方法和制度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 xml:space="preserve">（6）质量、进度、造价、安全监控措施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 xml:space="preserve">（7）合同、信息管理方案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 xml:space="preserve">（8）监理组织协调内容及措施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 xml:space="preserve">（9）环境保护及扬尘治理监控措施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（10）对本工程监理的合理化建议</w:t>
      </w:r>
    </w:p>
    <w:p>
      <w:pPr>
        <w:rPr>
          <w:rFonts w:ascii="Arial"/>
          <w:sz w:val="21"/>
          <w:highlight w:val="none"/>
        </w:rPr>
      </w:pPr>
      <w:r>
        <w:rPr>
          <w:rFonts w:ascii="Arial"/>
          <w:sz w:val="21"/>
          <w:highlight w:val="none"/>
        </w:rPr>
        <w:br w:type="page"/>
      </w:r>
    </w:p>
    <w:p>
      <w:pPr>
        <w:spacing w:before="155" w:line="224" w:lineRule="auto"/>
        <w:ind w:left="94"/>
        <w:jc w:val="center"/>
        <w:outlineLvl w:val="2"/>
        <w:rPr>
          <w:rFonts w:hint="eastAsia" w:ascii="宋体" w:hAnsi="宋体" w:cs="宋体"/>
          <w:b/>
          <w:bCs/>
          <w:color w:val="auto"/>
          <w:sz w:val="28"/>
          <w:szCs w:val="28"/>
          <w:highlight w:val="none"/>
          <w:u w:val="none"/>
          <w:lang w:eastAsia="zh-CN"/>
        </w:rPr>
      </w:pPr>
      <w:r>
        <w:rPr>
          <w:rFonts w:hint="eastAsia" w:ascii="宋体" w:hAnsi="宋体" w:cs="宋体"/>
          <w:b/>
          <w:bCs/>
          <w:color w:val="auto"/>
          <w:sz w:val="32"/>
          <w:szCs w:val="32"/>
          <w:highlight w:val="none"/>
          <w:u w:val="none"/>
          <w:lang w:val="en-US" w:eastAsia="zh-CN"/>
        </w:rPr>
        <w:t>五</w:t>
      </w:r>
      <w:r>
        <w:rPr>
          <w:rFonts w:hint="eastAsia" w:ascii="宋体" w:hAnsi="宋体" w:cs="宋体"/>
          <w:b/>
          <w:bCs/>
          <w:color w:val="auto"/>
          <w:sz w:val="32"/>
          <w:szCs w:val="32"/>
          <w:highlight w:val="none"/>
          <w:u w:val="none"/>
          <w:lang w:eastAsia="zh-CN"/>
        </w:rPr>
        <w:t>、资格审查资料</w:t>
      </w:r>
    </w:p>
    <w:p>
      <w:pPr>
        <w:spacing w:before="155" w:line="224" w:lineRule="auto"/>
        <w:ind w:left="94"/>
        <w:jc w:val="center"/>
        <w:outlineLvl w:val="1"/>
        <w:rPr>
          <w:rFonts w:hint="eastAsia" w:ascii="宋体" w:hAnsi="宋体" w:cs="宋体"/>
          <w:b/>
          <w:bCs/>
          <w:color w:val="auto"/>
          <w:sz w:val="28"/>
          <w:szCs w:val="28"/>
          <w:highlight w:val="none"/>
          <w:u w:val="none"/>
          <w:lang w:eastAsia="zh-CN"/>
        </w:rPr>
      </w:pPr>
      <w:bookmarkStart w:id="366" w:name="_Toc18462"/>
      <w:bookmarkStart w:id="367" w:name="_Toc19780"/>
      <w:r>
        <w:rPr>
          <w:rFonts w:hint="eastAsia" w:ascii="宋体" w:hAnsi="宋体" w:cs="宋体"/>
          <w:b/>
          <w:bCs/>
          <w:color w:val="auto"/>
          <w:sz w:val="28"/>
          <w:szCs w:val="28"/>
          <w:highlight w:val="none"/>
          <w:u w:val="none"/>
          <w:lang w:eastAsia="zh-CN"/>
        </w:rPr>
        <w:t>（一）投标人基本情况表</w:t>
      </w:r>
      <w:bookmarkEnd w:id="366"/>
      <w:bookmarkEnd w:id="367"/>
    </w:p>
    <w:p>
      <w:pPr>
        <w:spacing w:line="212" w:lineRule="exact"/>
        <w:rPr>
          <w:highlight w:val="none"/>
        </w:rPr>
      </w:pPr>
    </w:p>
    <w:tbl>
      <w:tblPr>
        <w:tblStyle w:val="96"/>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939"/>
        <w:gridCol w:w="1128"/>
        <w:gridCol w:w="1029"/>
        <w:gridCol w:w="200"/>
        <w:gridCol w:w="569"/>
        <w:gridCol w:w="1089"/>
        <w:gridCol w:w="959"/>
        <w:gridCol w:w="1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投标人名称</w:t>
            </w:r>
          </w:p>
        </w:tc>
        <w:tc>
          <w:tcPr>
            <w:tcW w:w="7506" w:type="dxa"/>
            <w:gridSpan w:val="8"/>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注册地址</w:t>
            </w:r>
          </w:p>
        </w:tc>
        <w:tc>
          <w:tcPr>
            <w:tcW w:w="3865" w:type="dxa"/>
            <w:gridSpan w:val="5"/>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邮政编码</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23" w:type="dxa"/>
            <w:vMerge w:val="restart"/>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联系方式</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联系人</w:t>
            </w:r>
          </w:p>
        </w:tc>
        <w:tc>
          <w:tcPr>
            <w:tcW w:w="2926" w:type="dxa"/>
            <w:gridSpan w:val="4"/>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电话</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523" w:type="dxa"/>
            <w:vMerge w:val="continue"/>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传真</w:t>
            </w:r>
          </w:p>
        </w:tc>
        <w:tc>
          <w:tcPr>
            <w:tcW w:w="2926" w:type="dxa"/>
            <w:gridSpan w:val="4"/>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08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网址</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组织结构</w:t>
            </w:r>
          </w:p>
        </w:tc>
        <w:tc>
          <w:tcPr>
            <w:tcW w:w="7506" w:type="dxa"/>
            <w:gridSpan w:val="8"/>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法定代表人</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姓名</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229"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技术职称</w:t>
            </w:r>
          </w:p>
        </w:tc>
        <w:tc>
          <w:tcPr>
            <w:tcW w:w="1658"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95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电话</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技术负责人</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姓名</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229"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技术职称</w:t>
            </w:r>
          </w:p>
        </w:tc>
        <w:tc>
          <w:tcPr>
            <w:tcW w:w="1658"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959"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电话</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成立时间</w:t>
            </w:r>
          </w:p>
        </w:tc>
        <w:tc>
          <w:tcPr>
            <w:tcW w:w="2067"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5439" w:type="dxa"/>
            <w:gridSpan w:val="6"/>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企业资质等级</w:t>
            </w:r>
          </w:p>
        </w:tc>
        <w:tc>
          <w:tcPr>
            <w:tcW w:w="2067"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02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其中</w:t>
            </w:r>
          </w:p>
        </w:tc>
        <w:tc>
          <w:tcPr>
            <w:tcW w:w="1858"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注册监理工程师</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营业执照号</w:t>
            </w:r>
          </w:p>
        </w:tc>
        <w:tc>
          <w:tcPr>
            <w:tcW w:w="2067"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0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858"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高级职称人员</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注册资金</w:t>
            </w:r>
          </w:p>
        </w:tc>
        <w:tc>
          <w:tcPr>
            <w:tcW w:w="2067"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0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858"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中级职称人员</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开户银行</w:t>
            </w:r>
          </w:p>
        </w:tc>
        <w:tc>
          <w:tcPr>
            <w:tcW w:w="2067"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02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858"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初级职称人员</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账号</w:t>
            </w:r>
          </w:p>
        </w:tc>
        <w:tc>
          <w:tcPr>
            <w:tcW w:w="2067"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02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c>
          <w:tcPr>
            <w:tcW w:w="1858" w:type="dxa"/>
            <w:gridSpan w:val="3"/>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技工</w:t>
            </w:r>
          </w:p>
        </w:tc>
        <w:tc>
          <w:tcPr>
            <w:tcW w:w="2552" w:type="dxa"/>
            <w:gridSpan w:val="2"/>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8"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经营范围</w:t>
            </w:r>
          </w:p>
        </w:tc>
        <w:tc>
          <w:tcPr>
            <w:tcW w:w="7506" w:type="dxa"/>
            <w:gridSpan w:val="8"/>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523"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c>
          <w:tcPr>
            <w:tcW w:w="7506" w:type="dxa"/>
            <w:gridSpan w:val="8"/>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bl>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后附：营业执照、资质证书等</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sectPr>
          <w:footerReference r:id="rId17" w:type="default"/>
          <w:pgSz w:w="11911" w:h="16838"/>
          <w:pgMar w:top="1440" w:right="1083" w:bottom="1440" w:left="1083" w:header="1157" w:footer="737" w:gutter="0"/>
          <w:pgNumType w:fmt="decimal"/>
          <w:cols w:space="0" w:num="1"/>
          <w:rtlGutter w:val="0"/>
          <w:docGrid w:linePitch="0" w:charSpace="0"/>
        </w:sectPr>
      </w:pPr>
    </w:p>
    <w:p>
      <w:pPr>
        <w:spacing w:before="155" w:line="224" w:lineRule="auto"/>
        <w:ind w:left="94"/>
        <w:jc w:val="center"/>
        <w:outlineLvl w:val="1"/>
        <w:rPr>
          <w:rFonts w:hint="eastAsia" w:ascii="宋体" w:hAnsi="宋体" w:cs="宋体"/>
          <w:b/>
          <w:bCs/>
          <w:color w:val="auto"/>
          <w:sz w:val="28"/>
          <w:szCs w:val="28"/>
          <w:highlight w:val="none"/>
          <w:u w:val="none"/>
          <w:lang w:eastAsia="zh-CN"/>
        </w:rPr>
      </w:pPr>
      <w:bookmarkStart w:id="368" w:name="_Toc30362"/>
      <w:bookmarkStart w:id="369" w:name="_Toc14710"/>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二</w:t>
      </w:r>
      <w:r>
        <w:rPr>
          <w:rFonts w:hint="eastAsia" w:ascii="宋体" w:hAnsi="宋体" w:cs="宋体"/>
          <w:b/>
          <w:bCs/>
          <w:color w:val="auto"/>
          <w:sz w:val="28"/>
          <w:szCs w:val="28"/>
          <w:highlight w:val="none"/>
          <w:u w:val="none"/>
          <w:lang w:eastAsia="zh-CN"/>
        </w:rPr>
        <w:t>）近年财务状况表</w:t>
      </w:r>
      <w:bookmarkEnd w:id="368"/>
      <w:bookmarkEnd w:id="369"/>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备注：在此附会计师事务所或审计机构审计出具的审计报告，具体年份要求见第二章“投标人须知”的规定。</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u w:val="none"/>
          <w:lang w:eastAsia="zh-CN"/>
        </w:rPr>
      </w:pPr>
    </w:p>
    <w:p>
      <w:pPr>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br w:type="page"/>
      </w:r>
    </w:p>
    <w:p>
      <w:pPr>
        <w:pageBreakBefore w:val="0"/>
        <w:widowControl w:val="0"/>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cs="宋体"/>
          <w:color w:val="auto"/>
          <w:sz w:val="24"/>
          <w:szCs w:val="24"/>
          <w:highlight w:val="none"/>
          <w:u w:val="none"/>
          <w:lang w:eastAsia="zh-CN"/>
        </w:rPr>
      </w:pPr>
      <w:bookmarkStart w:id="370" w:name="_Toc31853"/>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三</w:t>
      </w:r>
      <w:r>
        <w:rPr>
          <w:rFonts w:hint="eastAsia" w:ascii="宋体" w:hAnsi="宋体" w:cs="宋体"/>
          <w:b/>
          <w:bCs/>
          <w:color w:val="auto"/>
          <w:sz w:val="28"/>
          <w:szCs w:val="28"/>
          <w:highlight w:val="none"/>
          <w:u w:val="none"/>
          <w:lang w:eastAsia="zh-CN"/>
        </w:rPr>
        <w:t>）在人员、设备、资金等方面具备相应能力的承诺书</w:t>
      </w:r>
      <w:bookmarkEnd w:id="370"/>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none"/>
          <w:lang w:eastAsia="zh-CN"/>
        </w:rPr>
        <w:t>招标人名称：</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我单位在人员、设备、资金等方面具备相应的施工能力，特此声明。</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投标人：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eastAsia="zh-CN"/>
        </w:rPr>
        <w:t>（盖单位公章）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法定代表人或其委托代理人：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eastAsia="zh-CN"/>
        </w:rPr>
        <w:t>（签字或盖章）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eastAsia="zh-CN"/>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sectPr>
          <w:footerReference r:id="rId18" w:type="default"/>
          <w:pgSz w:w="11911" w:h="16838"/>
          <w:pgMar w:top="1440" w:right="1083" w:bottom="1440" w:left="1083" w:header="1157" w:footer="737" w:gutter="0"/>
          <w:pgNumType w:fmt="decimal"/>
          <w:cols w:space="0" w:num="1"/>
          <w:rtlGutter w:val="0"/>
          <w:docGrid w:linePitch="0" w:charSpace="0"/>
        </w:sectPr>
      </w:pPr>
    </w:p>
    <w:p>
      <w:pPr>
        <w:spacing w:before="155" w:line="224" w:lineRule="auto"/>
        <w:ind w:left="94"/>
        <w:jc w:val="center"/>
        <w:outlineLvl w:val="1"/>
        <w:rPr>
          <w:rFonts w:hint="eastAsia" w:ascii="宋体" w:hAnsi="宋体" w:cs="宋体"/>
          <w:b/>
          <w:bCs/>
          <w:color w:val="auto"/>
          <w:sz w:val="28"/>
          <w:szCs w:val="28"/>
          <w:highlight w:val="none"/>
          <w:u w:val="none"/>
          <w:lang w:eastAsia="zh-CN"/>
        </w:rPr>
      </w:pPr>
      <w:bookmarkStart w:id="371" w:name="_Toc27055"/>
      <w:bookmarkStart w:id="372" w:name="_Toc4306"/>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四</w:t>
      </w:r>
      <w:r>
        <w:rPr>
          <w:rFonts w:hint="eastAsia" w:ascii="宋体" w:hAnsi="宋体" w:cs="宋体"/>
          <w:b/>
          <w:bCs/>
          <w:color w:val="auto"/>
          <w:sz w:val="28"/>
          <w:szCs w:val="28"/>
          <w:highlight w:val="none"/>
          <w:u w:val="none"/>
          <w:lang w:eastAsia="zh-CN"/>
        </w:rPr>
        <w:t>）近年完成的类似项目情况表</w:t>
      </w:r>
      <w:bookmarkEnd w:id="371"/>
      <w:bookmarkEnd w:id="372"/>
    </w:p>
    <w:p>
      <w:pPr>
        <w:spacing w:line="212" w:lineRule="exact"/>
        <w:rPr>
          <w:highlight w:val="none"/>
        </w:rPr>
      </w:pPr>
    </w:p>
    <w:tbl>
      <w:tblPr>
        <w:tblStyle w:val="96"/>
        <w:tblW w:w="8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2"/>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项目名称</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项目所在地</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委托人名称</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委托人地址</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委托人电话</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合同价格</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监理周期</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监理内容</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总监理工程师</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7"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项目描述</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bl>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附：业绩合同等资料</w:t>
      </w:r>
    </w:p>
    <w:p>
      <w:pPr>
        <w:rPr>
          <w:highlight w:val="none"/>
        </w:rPr>
        <w:sectPr>
          <w:footerReference r:id="rId19" w:type="default"/>
          <w:pgSz w:w="11911" w:h="16838"/>
          <w:pgMar w:top="1440" w:right="1083" w:bottom="1440" w:left="1083" w:header="1157" w:footer="737" w:gutter="0"/>
          <w:pgNumType w:fmt="decimal"/>
          <w:cols w:space="0" w:num="1"/>
          <w:rtlGutter w:val="0"/>
          <w:docGrid w:linePitch="0" w:charSpace="0"/>
        </w:sectPr>
      </w:pPr>
    </w:p>
    <w:p>
      <w:pPr>
        <w:spacing w:before="155" w:line="224" w:lineRule="auto"/>
        <w:ind w:left="94"/>
        <w:jc w:val="center"/>
        <w:outlineLvl w:val="1"/>
        <w:rPr>
          <w:rFonts w:hint="eastAsia" w:ascii="宋体" w:hAnsi="宋体" w:cs="宋体"/>
          <w:b/>
          <w:bCs/>
          <w:color w:val="auto"/>
          <w:sz w:val="28"/>
          <w:szCs w:val="28"/>
          <w:highlight w:val="none"/>
          <w:u w:val="none"/>
          <w:lang w:eastAsia="zh-CN"/>
        </w:rPr>
      </w:pPr>
      <w:bookmarkStart w:id="373" w:name="_Toc20931"/>
      <w:bookmarkStart w:id="374" w:name="_Toc8177"/>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五）</w:t>
      </w:r>
      <w:r>
        <w:rPr>
          <w:rFonts w:hint="eastAsia" w:ascii="宋体" w:hAnsi="宋体" w:cs="宋体"/>
          <w:b/>
          <w:bCs/>
          <w:color w:val="auto"/>
          <w:sz w:val="28"/>
          <w:szCs w:val="28"/>
          <w:highlight w:val="none"/>
          <w:u w:val="none"/>
          <w:lang w:eastAsia="zh-CN"/>
        </w:rPr>
        <w:t>企业正在</w:t>
      </w:r>
      <w:r>
        <w:rPr>
          <w:rFonts w:hint="eastAsia" w:ascii="宋体" w:hAnsi="宋体" w:cs="宋体"/>
          <w:b/>
          <w:bCs/>
          <w:color w:val="auto"/>
          <w:sz w:val="28"/>
          <w:szCs w:val="28"/>
          <w:highlight w:val="none"/>
          <w:u w:val="none"/>
          <w:lang w:val="en-US" w:eastAsia="zh-CN"/>
        </w:rPr>
        <w:t>监理</w:t>
      </w:r>
      <w:r>
        <w:rPr>
          <w:rFonts w:hint="eastAsia" w:ascii="宋体" w:hAnsi="宋体" w:cs="宋体"/>
          <w:b/>
          <w:bCs/>
          <w:color w:val="auto"/>
          <w:sz w:val="28"/>
          <w:szCs w:val="28"/>
          <w:highlight w:val="none"/>
          <w:u w:val="none"/>
          <w:lang w:eastAsia="zh-CN"/>
        </w:rPr>
        <w:t>的和新承接的项目情况表</w:t>
      </w:r>
      <w:bookmarkEnd w:id="373"/>
      <w:bookmarkEnd w:id="374"/>
    </w:p>
    <w:p>
      <w:pPr>
        <w:spacing w:line="231" w:lineRule="exact"/>
        <w:rPr>
          <w:highlight w:val="none"/>
        </w:rPr>
      </w:pPr>
    </w:p>
    <w:tbl>
      <w:tblPr>
        <w:tblStyle w:val="96"/>
        <w:tblW w:w="8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2"/>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项目名称</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项目所在地</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委托人名称</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委托人地址</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委托人电话</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合同价格</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监理周期</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监理内容</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总监理工程师</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7"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项目描述</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c>
          <w:tcPr>
            <w:tcW w:w="6128" w:type="dxa"/>
            <w:vAlign w:val="center"/>
          </w:tcPr>
          <w:p>
            <w:pPr>
              <w:keepNext w:val="0"/>
              <w:keepLines w:val="0"/>
              <w:pageBreakBefore w:val="0"/>
              <w:widowControl w:val="0"/>
              <w:kinsoku/>
              <w:wordWrap/>
              <w:overflowPunct/>
              <w:topLinePunct w:val="0"/>
              <w:autoSpaceDE/>
              <w:autoSpaceDN/>
              <w:bidi w:val="0"/>
              <w:adjustRightInd/>
              <w:snapToGrid/>
              <w:spacing w:before="32" w:beforeLines="10" w:after="32" w:afterLines="10" w:line="240" w:lineRule="auto"/>
              <w:jc w:val="center"/>
              <w:textAlignment w:val="auto"/>
              <w:rPr>
                <w:rFonts w:hint="eastAsia" w:ascii="宋体" w:hAnsi="宋体" w:cs="宋体"/>
                <w:color w:val="auto"/>
                <w:sz w:val="24"/>
                <w:szCs w:val="24"/>
                <w:highlight w:val="none"/>
                <w:vertAlign w:val="baseline"/>
                <w:lang w:val="en-US" w:eastAsia="zh-CN"/>
              </w:rPr>
            </w:pPr>
          </w:p>
        </w:tc>
      </w:tr>
    </w:tbl>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highlight w:val="none"/>
          <w:lang w:val="en-US"/>
        </w:rPr>
        <w:sectPr>
          <w:footerReference r:id="rId20" w:type="default"/>
          <w:pgSz w:w="11911" w:h="16838"/>
          <w:pgMar w:top="1440" w:right="1083" w:bottom="1440" w:left="1083" w:header="1157" w:footer="737" w:gutter="0"/>
          <w:pgNumType w:fmt="decimal"/>
          <w:cols w:space="0" w:num="1"/>
          <w:rtlGutter w:val="0"/>
          <w:docGrid w:linePitch="0" w:charSpace="0"/>
        </w:sectPr>
      </w:pPr>
      <w:r>
        <w:rPr>
          <w:rFonts w:hint="eastAsia" w:ascii="宋体" w:hAnsi="宋体" w:cs="宋体"/>
          <w:color w:val="auto"/>
          <w:sz w:val="24"/>
          <w:szCs w:val="24"/>
          <w:highlight w:val="none"/>
          <w:u w:val="none"/>
          <w:lang w:eastAsia="zh-CN"/>
        </w:rPr>
        <w:t>附：中标通知书</w:t>
      </w:r>
      <w:r>
        <w:rPr>
          <w:rFonts w:hint="eastAsia" w:ascii="宋体" w:hAnsi="宋体" w:cs="宋体"/>
          <w:color w:val="auto"/>
          <w:sz w:val="24"/>
          <w:szCs w:val="24"/>
          <w:highlight w:val="none"/>
          <w:u w:val="none"/>
          <w:lang w:val="en-US" w:eastAsia="zh-CN"/>
        </w:rPr>
        <w:t>或</w:t>
      </w:r>
      <w:r>
        <w:rPr>
          <w:rFonts w:hint="eastAsia" w:ascii="宋体" w:hAnsi="宋体" w:cs="宋体"/>
          <w:color w:val="auto"/>
          <w:sz w:val="24"/>
          <w:szCs w:val="24"/>
          <w:highlight w:val="none"/>
          <w:u w:val="none"/>
          <w:lang w:eastAsia="zh-CN"/>
        </w:rPr>
        <w:t>业绩合同等</w:t>
      </w:r>
      <w:r>
        <w:rPr>
          <w:rFonts w:hint="eastAsia" w:ascii="宋体" w:hAnsi="宋体" w:cs="宋体"/>
          <w:color w:val="auto"/>
          <w:sz w:val="24"/>
          <w:szCs w:val="24"/>
          <w:highlight w:val="none"/>
          <w:u w:val="none"/>
          <w:lang w:val="en-US" w:eastAsia="zh-CN"/>
        </w:rPr>
        <w:t>资料</w:t>
      </w:r>
    </w:p>
    <w:p>
      <w:pPr>
        <w:numPr>
          <w:ilvl w:val="0"/>
          <w:numId w:val="0"/>
        </w:numPr>
        <w:spacing w:before="91" w:line="222" w:lineRule="auto"/>
        <w:jc w:val="center"/>
        <w:outlineLvl w:val="1"/>
        <w:rPr>
          <w:rFonts w:hint="eastAsia" w:ascii="宋体" w:hAnsi="宋体" w:cs="宋体"/>
          <w:b/>
          <w:bCs/>
          <w:color w:val="auto"/>
          <w:sz w:val="28"/>
          <w:szCs w:val="28"/>
          <w:highlight w:val="none"/>
          <w:u w:val="none"/>
          <w:lang w:eastAsia="zh-CN"/>
        </w:rPr>
      </w:pPr>
      <w:bookmarkStart w:id="375" w:name="_Toc24261"/>
      <w:bookmarkStart w:id="376" w:name="_Toc8475"/>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六）</w:t>
      </w:r>
      <w:r>
        <w:rPr>
          <w:rFonts w:hint="eastAsia" w:ascii="宋体" w:hAnsi="宋体" w:cs="宋体"/>
          <w:b/>
          <w:bCs/>
          <w:color w:val="auto"/>
          <w:sz w:val="28"/>
          <w:szCs w:val="28"/>
          <w:highlight w:val="none"/>
          <w:u w:val="none"/>
          <w:lang w:eastAsia="zh-CN"/>
        </w:rPr>
        <w:t>近年发生的诉讼及仲裁情况</w:t>
      </w:r>
      <w:bookmarkEnd w:id="375"/>
      <w:bookmarkEnd w:id="376"/>
    </w:p>
    <w:p>
      <w:pPr>
        <w:numPr>
          <w:ilvl w:val="0"/>
          <w:numId w:val="0"/>
        </w:numPr>
        <w:spacing w:before="91" w:line="222" w:lineRule="auto"/>
        <w:rPr>
          <w:rFonts w:hint="eastAsia" w:ascii="宋体" w:hAnsi="宋体" w:cs="宋体"/>
          <w:b/>
          <w:bCs/>
          <w:color w:val="auto"/>
          <w:sz w:val="28"/>
          <w:szCs w:val="28"/>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center"/>
        <w:textAlignment w:val="auto"/>
        <w:rPr>
          <w:highlight w:val="none"/>
        </w:rPr>
        <w:sectPr>
          <w:footerReference r:id="rId21" w:type="default"/>
          <w:pgSz w:w="11911" w:h="16838"/>
          <w:pgMar w:top="1440" w:right="1083" w:bottom="1440" w:left="1083" w:header="1157" w:footer="737" w:gutter="0"/>
          <w:pgNumType w:fmt="decimal"/>
          <w:cols w:space="0" w:num="1"/>
          <w:rtlGutter w:val="0"/>
          <w:docGrid w:linePitch="0" w:charSpace="0"/>
        </w:sectPr>
      </w:pPr>
      <w:r>
        <w:rPr>
          <w:rFonts w:hint="eastAsia" w:ascii="宋体" w:hAnsi="宋体" w:cs="宋体"/>
          <w:color w:val="auto"/>
          <w:sz w:val="24"/>
          <w:szCs w:val="24"/>
          <w:highlight w:val="none"/>
          <w:u w:val="none"/>
          <w:lang w:eastAsia="zh-CN"/>
        </w:rPr>
        <w:t>“近年发生的诉讼及仲裁情况”及应付败诉的一些相关材料，包括判决、裁决等法律文件的复印件，应按时间先后次序编排相关文件。有一项填一份材料，没有的就直接写“无”。</w:t>
      </w:r>
    </w:p>
    <w:p>
      <w:pPr>
        <w:numPr>
          <w:ilvl w:val="0"/>
          <w:numId w:val="0"/>
        </w:numPr>
        <w:spacing w:before="91" w:line="222" w:lineRule="auto"/>
        <w:jc w:val="center"/>
        <w:outlineLvl w:val="1"/>
        <w:rPr>
          <w:rFonts w:hint="eastAsia" w:ascii="宋体" w:hAnsi="宋体" w:cs="宋体"/>
          <w:b/>
          <w:bCs/>
          <w:color w:val="auto"/>
          <w:sz w:val="28"/>
          <w:szCs w:val="28"/>
          <w:highlight w:val="none"/>
          <w:u w:val="none"/>
          <w:lang w:eastAsia="zh-CN"/>
        </w:rPr>
      </w:pPr>
      <w:bookmarkStart w:id="377" w:name="_Toc6077"/>
      <w:bookmarkStart w:id="378" w:name="_Toc3188"/>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七</w:t>
      </w:r>
      <w:r>
        <w:rPr>
          <w:rFonts w:hint="eastAsia" w:ascii="宋体" w:hAnsi="宋体" w:cs="宋体"/>
          <w:b/>
          <w:bCs/>
          <w:color w:val="auto"/>
          <w:sz w:val="28"/>
          <w:szCs w:val="28"/>
          <w:highlight w:val="none"/>
          <w:u w:val="none"/>
          <w:lang w:eastAsia="zh-CN"/>
        </w:rPr>
        <w:t>）信用中国查询证明</w:t>
      </w:r>
      <w:bookmarkEnd w:id="377"/>
      <w:bookmarkEnd w:id="378"/>
    </w:p>
    <w:p>
      <w:pPr>
        <w:spacing w:line="323" w:lineRule="auto"/>
        <w:rPr>
          <w:rFonts w:ascii="Arial"/>
          <w:sz w:val="21"/>
          <w:highlight w:val="none"/>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提供在“信用中国”网站(www.creditchina.gov.cn)查询相关主体（包含投标人、投标人企业法定代表人）未列入失信被执行人查询信息，若被列入失信被执行人名单，拒绝其参与本次投标活动，其投标无效。查询时间为投标邀请书发出后，投标截止时间前，查询结果需显示查询时间。</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1、</w:t>
      </w:r>
      <w:r>
        <w:rPr>
          <w:rFonts w:hint="eastAsia" w:ascii="宋体" w:hAnsi="宋体" w:cs="宋体"/>
          <w:color w:val="auto"/>
          <w:sz w:val="24"/>
          <w:szCs w:val="24"/>
          <w:highlight w:val="none"/>
          <w:u w:val="none"/>
          <w:lang w:eastAsia="zh-CN"/>
        </w:rPr>
        <w:t>失信被执行人（投标人）</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查询方法：登录信用中国网站→点击信用服务→点击失信被执行人查询→输入内容为企</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业全称或组织机构代码证编号。</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2、</w:t>
      </w:r>
      <w:r>
        <w:rPr>
          <w:rFonts w:hint="eastAsia" w:ascii="宋体" w:hAnsi="宋体" w:cs="宋体"/>
          <w:color w:val="auto"/>
          <w:sz w:val="24"/>
          <w:szCs w:val="24"/>
          <w:highlight w:val="none"/>
          <w:u w:val="none"/>
          <w:lang w:eastAsia="zh-CN"/>
        </w:rPr>
        <w:t>失信被执行人（投标人法定代表人）</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查询方法：登录信用中国网站→点击个人信用→点击失信被执行人名单查询→输入内容</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为姓名和身份证号。</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3、</w:t>
      </w:r>
      <w:r>
        <w:rPr>
          <w:rFonts w:hint="eastAsia" w:ascii="宋体" w:hAnsi="宋体" w:cs="宋体"/>
          <w:color w:val="auto"/>
          <w:sz w:val="24"/>
          <w:szCs w:val="24"/>
          <w:highlight w:val="none"/>
          <w:u w:val="none"/>
          <w:lang w:eastAsia="zh-CN"/>
        </w:rPr>
        <w:t>“国家企业信用信息公示系统”网站查询</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单位负责人为同一人或者存在控股、管理关系的不同单位，不得同时参加本项目投标【提供加盖公章的“国家企业信用信息公示系统”中公示的公司信息、股东（或投资人）信息】</w:t>
      </w:r>
    </w:p>
    <w:p>
      <w:pPr>
        <w:spacing w:before="159" w:line="395" w:lineRule="exact"/>
        <w:ind w:left="433"/>
        <w:rPr>
          <w:rFonts w:ascii="仿宋" w:hAnsi="仿宋" w:eastAsia="仿宋" w:cs="仿宋"/>
          <w:spacing w:val="-8"/>
          <w:position w:val="14"/>
          <w:sz w:val="21"/>
          <w:szCs w:val="21"/>
          <w:highlight w:val="none"/>
        </w:rPr>
        <w:sectPr>
          <w:footerReference r:id="rId22" w:type="default"/>
          <w:pgSz w:w="11911" w:h="16838"/>
          <w:pgMar w:top="1440" w:right="1083" w:bottom="1440" w:left="1083" w:header="1157" w:footer="737" w:gutter="0"/>
          <w:pgNumType w:fmt="decimal"/>
          <w:cols w:space="0" w:num="1"/>
          <w:rtlGutter w:val="0"/>
          <w:docGrid w:linePitch="0" w:charSpace="0"/>
        </w:sectPr>
      </w:pPr>
    </w:p>
    <w:p>
      <w:pPr>
        <w:numPr>
          <w:ilvl w:val="0"/>
          <w:numId w:val="0"/>
        </w:numPr>
        <w:spacing w:before="91" w:line="222" w:lineRule="auto"/>
        <w:jc w:val="center"/>
        <w:outlineLvl w:val="1"/>
        <w:rPr>
          <w:rFonts w:hint="eastAsia" w:ascii="宋体" w:hAnsi="宋体" w:cs="宋体"/>
          <w:b/>
          <w:bCs/>
          <w:color w:val="auto"/>
          <w:sz w:val="28"/>
          <w:szCs w:val="28"/>
          <w:highlight w:val="none"/>
          <w:u w:val="none"/>
          <w:lang w:eastAsia="zh-CN"/>
        </w:rPr>
      </w:pPr>
      <w:bookmarkStart w:id="379" w:name="_Toc29802"/>
      <w:bookmarkStart w:id="380" w:name="_Toc22520"/>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八</w:t>
      </w:r>
      <w:r>
        <w:rPr>
          <w:rFonts w:hint="eastAsia" w:ascii="宋体" w:hAnsi="宋体" w:cs="宋体"/>
          <w:b/>
          <w:bCs/>
          <w:color w:val="auto"/>
          <w:sz w:val="28"/>
          <w:szCs w:val="28"/>
          <w:highlight w:val="none"/>
          <w:u w:val="none"/>
          <w:lang w:eastAsia="zh-CN"/>
        </w:rPr>
        <w:t>）信誉承诺</w:t>
      </w:r>
      <w:bookmarkEnd w:id="379"/>
      <w:bookmarkEnd w:id="380"/>
    </w:p>
    <w:p>
      <w:pPr>
        <w:spacing w:line="287" w:lineRule="auto"/>
        <w:rPr>
          <w:rFonts w:ascii="Arial"/>
          <w:sz w:val="21"/>
          <w:highlight w:val="none"/>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我单位参加</w:t>
      </w:r>
      <w:r>
        <w:rPr>
          <w:rFonts w:hint="eastAsia" w:ascii="宋体" w:hAnsi="宋体" w:cs="宋体"/>
          <w:color w:val="auto"/>
          <w:sz w:val="24"/>
          <w:szCs w:val="24"/>
          <w:highlight w:val="none"/>
          <w:u w:val="single"/>
          <w:lang w:val="en-US" w:eastAsia="zh-CN"/>
        </w:rPr>
        <w:t xml:space="preserve">            （项目名称）</w:t>
      </w:r>
      <w:r>
        <w:rPr>
          <w:rFonts w:hint="eastAsia" w:ascii="宋体" w:hAnsi="宋体" w:cs="宋体"/>
          <w:color w:val="auto"/>
          <w:sz w:val="24"/>
          <w:szCs w:val="24"/>
          <w:highlight w:val="none"/>
          <w:u w:val="none"/>
          <w:lang w:eastAsia="zh-CN"/>
        </w:rPr>
        <w:t>投标，我单位承诺：</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1</w:t>
      </w:r>
      <w:r>
        <w:rPr>
          <w:rFonts w:hint="eastAsia" w:ascii="宋体" w:hAnsi="宋体" w:cs="宋体"/>
          <w:color w:val="auto"/>
          <w:sz w:val="24"/>
          <w:szCs w:val="24"/>
          <w:highlight w:val="none"/>
          <w:u w:val="none"/>
          <w:lang w:eastAsia="zh-CN"/>
        </w:rPr>
        <w:t>）我单位具备良好的社会信誉，没有处于被责令停产、停业情况，没有处于投标资格被暂停、取消状态，没有财产被接管、冻结和破产状态的情况，最近三年内未发生骗取中标，未发生严重违约或重大工程质量问题；</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2</w:t>
      </w:r>
      <w:r>
        <w:rPr>
          <w:rFonts w:hint="eastAsia" w:ascii="宋体" w:hAnsi="宋体" w:cs="宋体"/>
          <w:color w:val="auto"/>
          <w:sz w:val="24"/>
          <w:szCs w:val="24"/>
          <w:highlight w:val="none"/>
          <w:u w:val="none"/>
          <w:lang w:eastAsia="zh-CN"/>
        </w:rPr>
        <w:t>）在近三年内投标人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（企业名称）；</w:t>
      </w:r>
      <w:r>
        <w:rPr>
          <w:rFonts w:hint="eastAsia" w:ascii="宋体" w:hAnsi="宋体" w:cs="宋体"/>
          <w:color w:val="auto"/>
          <w:sz w:val="24"/>
          <w:szCs w:val="24"/>
          <w:highlight w:val="none"/>
          <w:u w:val="none"/>
          <w:lang w:eastAsia="zh-CN"/>
        </w:rPr>
        <w:t>投标人法定代表人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（姓名、身份证号）；</w:t>
      </w:r>
      <w:r>
        <w:rPr>
          <w:rFonts w:hint="eastAsia" w:ascii="宋体" w:hAnsi="宋体" w:cs="宋体"/>
          <w:color w:val="auto"/>
          <w:sz w:val="24"/>
          <w:szCs w:val="24"/>
          <w:highlight w:val="none"/>
          <w:u w:val="none"/>
          <w:lang w:eastAsia="zh-CN"/>
        </w:rPr>
        <w:t>拟派总监理工程师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（姓名、身份证号）</w:t>
      </w:r>
      <w:r>
        <w:rPr>
          <w:rFonts w:hint="eastAsia" w:ascii="宋体" w:hAnsi="宋体" w:cs="宋体"/>
          <w:color w:val="auto"/>
          <w:sz w:val="24"/>
          <w:szCs w:val="24"/>
          <w:highlight w:val="none"/>
          <w:u w:val="none"/>
          <w:lang w:eastAsia="zh-CN"/>
        </w:rPr>
        <w:t>没有行贿犯罪行为。</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注：最近三年是指该项目投标截止之日起往前顺推三年以事实实际发生的时间为准。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若招标人通过可能进行的实地或其他方式的考察或其他人的举报，发现我公司存在以上</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情况，招标人有权取消我单位投标资格或中标资格、拒签或提前中止合同，并向有关建设主管部门上报作进一步处罚，同时我单位自愿接受招标人要求赔偿的相应损失并承担由此带来的一切法律责任。</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特此承诺。</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投标人：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eastAsia="zh-CN"/>
        </w:rPr>
        <w:t>（盖单位公章）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法定代表人或委托代理人：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eastAsia="zh-CN"/>
        </w:rPr>
        <w:t>(签字或盖章)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eastAsia="zh-CN"/>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eastAsia="zh-CN"/>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sectPr>
          <w:footerReference r:id="rId23" w:type="default"/>
          <w:pgSz w:w="11911" w:h="16838"/>
          <w:pgMar w:top="1440" w:right="1083" w:bottom="1440" w:left="1083" w:header="1157" w:footer="737" w:gutter="0"/>
          <w:pgNumType w:fmt="decimal"/>
          <w:cols w:space="0" w:num="1"/>
          <w:rtlGutter w:val="0"/>
          <w:docGrid w:linePitch="0" w:charSpace="0"/>
        </w:sectPr>
      </w:pPr>
    </w:p>
    <w:p>
      <w:pPr>
        <w:numPr>
          <w:ilvl w:val="0"/>
          <w:numId w:val="0"/>
        </w:numPr>
        <w:spacing w:before="91" w:line="222" w:lineRule="auto"/>
        <w:jc w:val="center"/>
        <w:outlineLvl w:val="1"/>
        <w:rPr>
          <w:rFonts w:hint="eastAsia" w:ascii="宋体" w:hAnsi="宋体" w:cs="宋体"/>
          <w:b/>
          <w:bCs/>
          <w:color w:val="auto"/>
          <w:sz w:val="28"/>
          <w:szCs w:val="28"/>
          <w:highlight w:val="none"/>
          <w:u w:val="none"/>
          <w:lang w:eastAsia="zh-CN"/>
        </w:rPr>
      </w:pPr>
      <w:bookmarkStart w:id="381" w:name="_Toc20442"/>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九</w:t>
      </w:r>
      <w:r>
        <w:rPr>
          <w:rFonts w:hint="eastAsia" w:ascii="宋体" w:hAnsi="宋体" w:cs="宋体"/>
          <w:b/>
          <w:bCs/>
          <w:color w:val="auto"/>
          <w:sz w:val="28"/>
          <w:szCs w:val="28"/>
          <w:highlight w:val="none"/>
          <w:u w:val="none"/>
          <w:lang w:eastAsia="zh-CN"/>
        </w:rPr>
        <w:t>）拟委任的主要人员汇总表</w:t>
      </w:r>
      <w:bookmarkEnd w:id="381"/>
    </w:p>
    <w:p>
      <w:pPr>
        <w:bidi w:val="0"/>
        <w:rPr>
          <w:rFonts w:hint="eastAsia"/>
          <w:highlight w:val="none"/>
          <w:lang w:eastAsia="zh-CN"/>
        </w:rPr>
      </w:pPr>
    </w:p>
    <w:tbl>
      <w:tblPr>
        <w:tblStyle w:val="35"/>
        <w:tblW w:w="93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7"/>
        <w:gridCol w:w="1140"/>
        <w:gridCol w:w="960"/>
        <w:gridCol w:w="960"/>
        <w:gridCol w:w="888"/>
        <w:gridCol w:w="1391"/>
        <w:gridCol w:w="1009"/>
        <w:gridCol w:w="933"/>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本项目任职</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姓名</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职称</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专业</w:t>
            </w:r>
          </w:p>
        </w:tc>
        <w:tc>
          <w:tcPr>
            <w:tcW w:w="33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执业或职业资格证明</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证书名称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级别</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证号</w:t>
            </w: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bl>
    <w:p>
      <w:pPr>
        <w:rPr>
          <w:rFonts w:hint="eastAsia" w:ascii="宋体" w:hAnsi="宋体" w:cs="宋体"/>
          <w:b/>
          <w:bCs/>
          <w:color w:val="auto"/>
          <w:sz w:val="28"/>
          <w:szCs w:val="28"/>
          <w:highlight w:val="none"/>
          <w:u w:val="none"/>
          <w:lang w:eastAsia="zh-CN"/>
        </w:rPr>
      </w:pPr>
      <w:r>
        <w:rPr>
          <w:rFonts w:hint="eastAsia" w:ascii="宋体" w:hAnsi="宋体" w:cs="宋体"/>
          <w:b/>
          <w:bCs/>
          <w:color w:val="auto"/>
          <w:sz w:val="28"/>
          <w:szCs w:val="28"/>
          <w:highlight w:val="none"/>
          <w:u w:val="none"/>
          <w:lang w:eastAsia="zh-CN"/>
        </w:rPr>
        <w:br w:type="page"/>
      </w:r>
    </w:p>
    <w:p>
      <w:pPr>
        <w:numPr>
          <w:ilvl w:val="0"/>
          <w:numId w:val="0"/>
        </w:numPr>
        <w:spacing w:before="91" w:line="222" w:lineRule="auto"/>
        <w:jc w:val="center"/>
        <w:outlineLvl w:val="1"/>
        <w:rPr>
          <w:rFonts w:hint="eastAsia" w:ascii="宋体" w:hAnsi="宋体" w:cs="宋体"/>
          <w:b/>
          <w:bCs/>
          <w:color w:val="auto"/>
          <w:sz w:val="28"/>
          <w:szCs w:val="28"/>
          <w:highlight w:val="none"/>
          <w:u w:val="none"/>
          <w:lang w:eastAsia="zh-CN"/>
        </w:rPr>
      </w:pPr>
      <w:bookmarkStart w:id="382" w:name="_Toc3988"/>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十</w:t>
      </w:r>
      <w:r>
        <w:rPr>
          <w:rFonts w:hint="eastAsia" w:ascii="宋体" w:hAnsi="宋体" w:cs="宋体"/>
          <w:b/>
          <w:bCs/>
          <w:color w:val="auto"/>
          <w:sz w:val="28"/>
          <w:szCs w:val="28"/>
          <w:highlight w:val="none"/>
          <w:u w:val="none"/>
          <w:lang w:eastAsia="zh-CN"/>
        </w:rPr>
        <w:t>）主要人员简历表</w:t>
      </w:r>
      <w:bookmarkEnd w:id="382"/>
    </w:p>
    <w:p>
      <w:pPr>
        <w:rPr>
          <w:rFonts w:hint="eastAsia" w:ascii="宋体" w:hAnsi="宋体" w:cs="宋体"/>
          <w:b/>
          <w:bCs/>
          <w:color w:val="auto"/>
          <w:sz w:val="28"/>
          <w:szCs w:val="28"/>
          <w:highlight w:val="none"/>
          <w:u w:val="none"/>
          <w:lang w:eastAsia="zh-CN"/>
        </w:rPr>
      </w:pPr>
    </w:p>
    <w:p>
      <w:pPr>
        <w:rPr>
          <w:rFonts w:hint="eastAsia" w:ascii="宋体" w:hAnsi="宋体" w:cs="宋体"/>
          <w:b/>
          <w:bCs/>
          <w:color w:val="auto"/>
          <w:sz w:val="28"/>
          <w:szCs w:val="28"/>
          <w:highlight w:val="none"/>
          <w:u w:val="none"/>
          <w:lang w:eastAsia="zh-CN"/>
        </w:rPr>
      </w:pPr>
    </w:p>
    <w:tbl>
      <w:tblPr>
        <w:tblStyle w:val="96"/>
        <w:tblW w:w="9086" w:type="dxa"/>
        <w:tblInd w:w="5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382"/>
        <w:gridCol w:w="737"/>
        <w:gridCol w:w="1019"/>
        <w:gridCol w:w="1135"/>
        <w:gridCol w:w="752"/>
        <w:gridCol w:w="1342"/>
        <w:gridCol w:w="427"/>
        <w:gridCol w:w="20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267" w:type="dxa"/>
            <w:vAlign w:val="top"/>
          </w:tcPr>
          <w:p>
            <w:pPr>
              <w:spacing w:before="304" w:line="228" w:lineRule="auto"/>
              <w:ind w:left="285"/>
              <w:rPr>
                <w:rFonts w:ascii="宋体" w:hAnsi="宋体" w:eastAsia="宋体" w:cs="宋体"/>
                <w:sz w:val="20"/>
                <w:szCs w:val="20"/>
                <w:highlight w:val="none"/>
              </w:rPr>
            </w:pPr>
            <w:r>
              <w:rPr>
                <w:rFonts w:ascii="宋体" w:hAnsi="宋体" w:eastAsia="宋体" w:cs="宋体"/>
                <w:sz w:val="20"/>
                <w:szCs w:val="20"/>
                <w:highlight w:val="none"/>
              </w:rPr>
              <w:t>姓</w:t>
            </w:r>
            <w:r>
              <w:rPr>
                <w:rFonts w:ascii="宋体" w:hAnsi="宋体" w:eastAsia="宋体" w:cs="宋体"/>
                <w:spacing w:val="4"/>
                <w:sz w:val="20"/>
                <w:szCs w:val="20"/>
                <w:highlight w:val="none"/>
              </w:rPr>
              <w:t xml:space="preserve">  </w:t>
            </w:r>
            <w:r>
              <w:rPr>
                <w:rFonts w:ascii="宋体" w:hAnsi="宋体" w:eastAsia="宋体" w:cs="宋体"/>
                <w:sz w:val="20"/>
                <w:szCs w:val="20"/>
                <w:highlight w:val="none"/>
              </w:rPr>
              <w:t>名</w:t>
            </w:r>
          </w:p>
        </w:tc>
        <w:tc>
          <w:tcPr>
            <w:tcW w:w="1119" w:type="dxa"/>
            <w:gridSpan w:val="2"/>
            <w:vAlign w:val="top"/>
          </w:tcPr>
          <w:p>
            <w:pPr>
              <w:rPr>
                <w:rFonts w:ascii="Arial"/>
                <w:sz w:val="21"/>
                <w:highlight w:val="none"/>
              </w:rPr>
            </w:pPr>
          </w:p>
        </w:tc>
        <w:tc>
          <w:tcPr>
            <w:tcW w:w="1019" w:type="dxa"/>
            <w:vAlign w:val="top"/>
          </w:tcPr>
          <w:p>
            <w:pPr>
              <w:spacing w:before="304" w:line="228" w:lineRule="auto"/>
              <w:ind w:left="271"/>
              <w:rPr>
                <w:rFonts w:ascii="宋体" w:hAnsi="宋体" w:eastAsia="宋体" w:cs="宋体"/>
                <w:sz w:val="20"/>
                <w:szCs w:val="20"/>
                <w:highlight w:val="none"/>
              </w:rPr>
            </w:pPr>
            <w:r>
              <w:rPr>
                <w:rFonts w:ascii="宋体" w:hAnsi="宋体" w:eastAsia="宋体" w:cs="宋体"/>
                <w:spacing w:val="4"/>
                <w:sz w:val="20"/>
                <w:szCs w:val="20"/>
                <w:highlight w:val="none"/>
              </w:rPr>
              <w:t>年龄</w:t>
            </w:r>
          </w:p>
        </w:tc>
        <w:tc>
          <w:tcPr>
            <w:tcW w:w="1135" w:type="dxa"/>
            <w:vAlign w:val="top"/>
          </w:tcPr>
          <w:p>
            <w:pPr>
              <w:rPr>
                <w:rFonts w:ascii="Arial"/>
                <w:sz w:val="21"/>
                <w:highlight w:val="none"/>
              </w:rPr>
            </w:pPr>
          </w:p>
        </w:tc>
        <w:tc>
          <w:tcPr>
            <w:tcW w:w="2521" w:type="dxa"/>
            <w:gridSpan w:val="3"/>
            <w:vAlign w:val="top"/>
          </w:tcPr>
          <w:p>
            <w:pPr>
              <w:spacing w:before="180" w:line="439" w:lineRule="exact"/>
              <w:ind w:left="139"/>
              <w:rPr>
                <w:rFonts w:ascii="宋体" w:hAnsi="宋体" w:eastAsia="宋体" w:cs="宋体"/>
                <w:sz w:val="20"/>
                <w:szCs w:val="20"/>
                <w:highlight w:val="none"/>
              </w:rPr>
            </w:pPr>
            <w:r>
              <w:rPr>
                <w:rFonts w:ascii="宋体" w:hAnsi="宋体" w:eastAsia="宋体" w:cs="宋体"/>
                <w:spacing w:val="8"/>
                <w:position w:val="18"/>
                <w:sz w:val="20"/>
                <w:szCs w:val="20"/>
                <w:highlight w:val="none"/>
              </w:rPr>
              <w:t>执业资格证书（或上岗</w:t>
            </w:r>
          </w:p>
          <w:p>
            <w:pPr>
              <w:spacing w:line="226" w:lineRule="auto"/>
              <w:ind w:left="663"/>
              <w:rPr>
                <w:rFonts w:ascii="宋体" w:hAnsi="宋体" w:eastAsia="宋体" w:cs="宋体"/>
                <w:sz w:val="20"/>
                <w:szCs w:val="20"/>
                <w:highlight w:val="none"/>
              </w:rPr>
            </w:pPr>
            <w:r>
              <w:rPr>
                <w:rFonts w:ascii="宋体" w:hAnsi="宋体" w:eastAsia="宋体" w:cs="宋体"/>
                <w:spacing w:val="7"/>
                <w:sz w:val="20"/>
                <w:szCs w:val="20"/>
                <w:highlight w:val="none"/>
              </w:rPr>
              <w:t>证书）名称</w:t>
            </w:r>
          </w:p>
        </w:tc>
        <w:tc>
          <w:tcPr>
            <w:tcW w:w="20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267" w:type="dxa"/>
            <w:vAlign w:val="top"/>
          </w:tcPr>
          <w:p>
            <w:pPr>
              <w:spacing w:before="205" w:line="230" w:lineRule="auto"/>
              <w:ind w:left="286"/>
              <w:rPr>
                <w:rFonts w:ascii="宋体" w:hAnsi="宋体" w:eastAsia="宋体" w:cs="宋体"/>
                <w:sz w:val="20"/>
                <w:szCs w:val="20"/>
                <w:highlight w:val="none"/>
              </w:rPr>
            </w:pPr>
            <w:r>
              <w:rPr>
                <w:rFonts w:ascii="宋体" w:hAnsi="宋体" w:eastAsia="宋体" w:cs="宋体"/>
                <w:sz w:val="20"/>
                <w:szCs w:val="20"/>
                <w:highlight w:val="none"/>
              </w:rPr>
              <w:t>职</w:t>
            </w:r>
            <w:r>
              <w:rPr>
                <w:rFonts w:ascii="宋体" w:hAnsi="宋体" w:eastAsia="宋体" w:cs="宋体"/>
                <w:spacing w:val="3"/>
                <w:sz w:val="20"/>
                <w:szCs w:val="20"/>
                <w:highlight w:val="none"/>
              </w:rPr>
              <w:t xml:space="preserve">  </w:t>
            </w:r>
            <w:r>
              <w:rPr>
                <w:rFonts w:ascii="宋体" w:hAnsi="宋体" w:eastAsia="宋体" w:cs="宋体"/>
                <w:sz w:val="20"/>
                <w:szCs w:val="20"/>
                <w:highlight w:val="none"/>
              </w:rPr>
              <w:t>称</w:t>
            </w:r>
          </w:p>
        </w:tc>
        <w:tc>
          <w:tcPr>
            <w:tcW w:w="1119" w:type="dxa"/>
            <w:gridSpan w:val="2"/>
            <w:vAlign w:val="top"/>
          </w:tcPr>
          <w:p>
            <w:pPr>
              <w:rPr>
                <w:rFonts w:ascii="Arial"/>
                <w:sz w:val="21"/>
                <w:highlight w:val="none"/>
              </w:rPr>
            </w:pPr>
          </w:p>
        </w:tc>
        <w:tc>
          <w:tcPr>
            <w:tcW w:w="1019" w:type="dxa"/>
            <w:vAlign w:val="top"/>
          </w:tcPr>
          <w:p>
            <w:pPr>
              <w:spacing w:before="205" w:line="229" w:lineRule="auto"/>
              <w:ind w:left="274"/>
              <w:rPr>
                <w:rFonts w:ascii="宋体" w:hAnsi="宋体" w:eastAsia="宋体" w:cs="宋体"/>
                <w:sz w:val="20"/>
                <w:szCs w:val="20"/>
                <w:highlight w:val="none"/>
              </w:rPr>
            </w:pPr>
            <w:r>
              <w:rPr>
                <w:rFonts w:ascii="宋体" w:hAnsi="宋体" w:eastAsia="宋体" w:cs="宋体"/>
                <w:spacing w:val="2"/>
                <w:sz w:val="20"/>
                <w:szCs w:val="20"/>
                <w:highlight w:val="none"/>
              </w:rPr>
              <w:t>学历</w:t>
            </w:r>
          </w:p>
        </w:tc>
        <w:tc>
          <w:tcPr>
            <w:tcW w:w="1135" w:type="dxa"/>
            <w:vAlign w:val="top"/>
          </w:tcPr>
          <w:p>
            <w:pPr>
              <w:rPr>
                <w:rFonts w:ascii="Arial"/>
                <w:sz w:val="21"/>
                <w:highlight w:val="none"/>
              </w:rPr>
            </w:pPr>
          </w:p>
        </w:tc>
        <w:tc>
          <w:tcPr>
            <w:tcW w:w="2521" w:type="dxa"/>
            <w:gridSpan w:val="3"/>
            <w:vAlign w:val="top"/>
          </w:tcPr>
          <w:p>
            <w:pPr>
              <w:spacing w:before="205" w:line="227" w:lineRule="auto"/>
              <w:ind w:left="454"/>
              <w:rPr>
                <w:rFonts w:ascii="宋体" w:hAnsi="宋体" w:eastAsia="宋体" w:cs="宋体"/>
                <w:sz w:val="20"/>
                <w:szCs w:val="20"/>
                <w:highlight w:val="none"/>
              </w:rPr>
            </w:pPr>
            <w:r>
              <w:rPr>
                <w:rFonts w:ascii="宋体" w:hAnsi="宋体" w:eastAsia="宋体" w:cs="宋体"/>
                <w:spacing w:val="8"/>
                <w:sz w:val="20"/>
                <w:szCs w:val="20"/>
                <w:highlight w:val="none"/>
              </w:rPr>
              <w:t>拟在本项目任职</w:t>
            </w:r>
          </w:p>
        </w:tc>
        <w:tc>
          <w:tcPr>
            <w:tcW w:w="20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267" w:type="dxa"/>
            <w:vAlign w:val="top"/>
          </w:tcPr>
          <w:p>
            <w:pPr>
              <w:spacing w:before="208" w:line="228" w:lineRule="auto"/>
              <w:ind w:left="182"/>
              <w:rPr>
                <w:rFonts w:ascii="宋体" w:hAnsi="宋体" w:eastAsia="宋体" w:cs="宋体"/>
                <w:sz w:val="20"/>
                <w:szCs w:val="20"/>
                <w:highlight w:val="none"/>
              </w:rPr>
            </w:pPr>
            <w:r>
              <w:rPr>
                <w:rFonts w:ascii="宋体" w:hAnsi="宋体" w:eastAsia="宋体" w:cs="宋体"/>
                <w:spacing w:val="6"/>
                <w:sz w:val="20"/>
                <w:szCs w:val="20"/>
                <w:highlight w:val="none"/>
              </w:rPr>
              <w:t>工作年限</w:t>
            </w:r>
          </w:p>
        </w:tc>
        <w:tc>
          <w:tcPr>
            <w:tcW w:w="3273" w:type="dxa"/>
            <w:gridSpan w:val="4"/>
            <w:vAlign w:val="top"/>
          </w:tcPr>
          <w:p>
            <w:pPr>
              <w:rPr>
                <w:rFonts w:ascii="Arial"/>
                <w:sz w:val="21"/>
                <w:highlight w:val="none"/>
              </w:rPr>
            </w:pPr>
          </w:p>
        </w:tc>
        <w:tc>
          <w:tcPr>
            <w:tcW w:w="2521" w:type="dxa"/>
            <w:gridSpan w:val="3"/>
            <w:vAlign w:val="top"/>
          </w:tcPr>
          <w:p>
            <w:pPr>
              <w:spacing w:before="208" w:line="228" w:lineRule="auto"/>
              <w:ind w:left="351"/>
              <w:rPr>
                <w:rFonts w:ascii="宋体" w:hAnsi="宋体" w:eastAsia="宋体" w:cs="宋体"/>
                <w:sz w:val="20"/>
                <w:szCs w:val="20"/>
                <w:highlight w:val="none"/>
              </w:rPr>
            </w:pPr>
            <w:r>
              <w:rPr>
                <w:rFonts w:ascii="宋体" w:hAnsi="宋体" w:eastAsia="宋体" w:cs="宋体"/>
                <w:spacing w:val="7"/>
                <w:sz w:val="20"/>
                <w:szCs w:val="20"/>
                <w:highlight w:val="none"/>
              </w:rPr>
              <w:t>从事监理工作年限</w:t>
            </w:r>
          </w:p>
        </w:tc>
        <w:tc>
          <w:tcPr>
            <w:tcW w:w="2025" w:type="dxa"/>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67" w:type="dxa"/>
            <w:vAlign w:val="top"/>
          </w:tcPr>
          <w:p>
            <w:pPr>
              <w:spacing w:before="211" w:line="228" w:lineRule="auto"/>
              <w:ind w:left="184"/>
              <w:rPr>
                <w:rFonts w:ascii="宋体" w:hAnsi="宋体" w:eastAsia="宋体" w:cs="宋体"/>
                <w:sz w:val="20"/>
                <w:szCs w:val="20"/>
                <w:highlight w:val="none"/>
              </w:rPr>
            </w:pPr>
            <w:r>
              <w:rPr>
                <w:rFonts w:ascii="宋体" w:hAnsi="宋体" w:eastAsia="宋体" w:cs="宋体"/>
                <w:spacing w:val="6"/>
                <w:sz w:val="20"/>
                <w:szCs w:val="20"/>
                <w:highlight w:val="none"/>
              </w:rPr>
              <w:t>毕业学校</w:t>
            </w:r>
          </w:p>
        </w:tc>
        <w:tc>
          <w:tcPr>
            <w:tcW w:w="7819" w:type="dxa"/>
            <w:gridSpan w:val="8"/>
            <w:vAlign w:val="top"/>
          </w:tcPr>
          <w:p>
            <w:pPr>
              <w:spacing w:before="211" w:line="228" w:lineRule="auto"/>
              <w:ind w:left="1265"/>
              <w:rPr>
                <w:rFonts w:ascii="宋体" w:hAnsi="宋体" w:eastAsia="宋体" w:cs="宋体"/>
                <w:sz w:val="20"/>
                <w:szCs w:val="20"/>
                <w:highlight w:val="none"/>
              </w:rPr>
            </w:pPr>
            <w:r>
              <w:rPr>
                <w:rFonts w:ascii="宋体" w:hAnsi="宋体" w:eastAsia="宋体" w:cs="宋体"/>
                <w:spacing w:val="5"/>
                <w:sz w:val="20"/>
                <w:szCs w:val="20"/>
                <w:highlight w:val="none"/>
              </w:rPr>
              <w:t>年毕业于</w:t>
            </w:r>
            <w:r>
              <w:rPr>
                <w:rFonts w:ascii="宋体" w:hAnsi="宋体" w:eastAsia="宋体" w:cs="宋体"/>
                <w:spacing w:val="4"/>
                <w:sz w:val="20"/>
                <w:szCs w:val="20"/>
                <w:highlight w:val="none"/>
              </w:rPr>
              <w:t xml:space="preserve">            </w:t>
            </w:r>
            <w:r>
              <w:rPr>
                <w:rFonts w:ascii="宋体" w:hAnsi="宋体" w:eastAsia="宋体" w:cs="宋体"/>
                <w:spacing w:val="5"/>
                <w:sz w:val="20"/>
                <w:szCs w:val="20"/>
                <w:highlight w:val="none"/>
              </w:rPr>
              <w:t>学校</w:t>
            </w:r>
            <w:r>
              <w:rPr>
                <w:rFonts w:ascii="宋体" w:hAnsi="宋体" w:eastAsia="宋体" w:cs="宋体"/>
                <w:spacing w:val="10"/>
                <w:sz w:val="20"/>
                <w:szCs w:val="20"/>
                <w:highlight w:val="none"/>
              </w:rPr>
              <w:t xml:space="preserve">        </w:t>
            </w:r>
            <w:r>
              <w:rPr>
                <w:rFonts w:ascii="宋体" w:hAnsi="宋体" w:eastAsia="宋体" w:cs="宋体"/>
                <w:spacing w:val="5"/>
                <w:sz w:val="20"/>
                <w:szCs w:val="20"/>
                <w:highlight w:val="none"/>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086" w:type="dxa"/>
            <w:gridSpan w:val="9"/>
            <w:vAlign w:val="top"/>
          </w:tcPr>
          <w:p>
            <w:pPr>
              <w:spacing w:before="206" w:line="228" w:lineRule="auto"/>
              <w:ind w:left="116"/>
              <w:rPr>
                <w:rFonts w:ascii="宋体" w:hAnsi="宋体" w:eastAsia="宋体" w:cs="宋体"/>
                <w:sz w:val="20"/>
                <w:szCs w:val="20"/>
                <w:highlight w:val="none"/>
              </w:rPr>
            </w:pPr>
            <w:r>
              <w:rPr>
                <w:rFonts w:ascii="宋体" w:hAnsi="宋体" w:eastAsia="宋体" w:cs="宋体"/>
                <w:spacing w:val="7"/>
                <w:sz w:val="20"/>
                <w:szCs w:val="20"/>
                <w:highlight w:val="none"/>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649" w:type="dxa"/>
            <w:gridSpan w:val="2"/>
            <w:vAlign w:val="top"/>
          </w:tcPr>
          <w:p>
            <w:pPr>
              <w:spacing w:before="217" w:line="230" w:lineRule="auto"/>
              <w:ind w:left="472"/>
              <w:rPr>
                <w:rFonts w:ascii="宋体" w:hAnsi="宋体" w:eastAsia="宋体" w:cs="宋体"/>
                <w:sz w:val="20"/>
                <w:szCs w:val="20"/>
                <w:highlight w:val="none"/>
              </w:rPr>
            </w:pPr>
            <w:r>
              <w:rPr>
                <w:rFonts w:ascii="宋体" w:hAnsi="宋体" w:eastAsia="宋体" w:cs="宋体"/>
                <w:spacing w:val="-5"/>
                <w:sz w:val="20"/>
                <w:szCs w:val="20"/>
                <w:highlight w:val="none"/>
              </w:rPr>
              <w:t>时</w:t>
            </w:r>
            <w:r>
              <w:rPr>
                <w:rFonts w:ascii="宋体" w:hAnsi="宋体" w:eastAsia="宋体" w:cs="宋体"/>
                <w:spacing w:val="12"/>
                <w:sz w:val="20"/>
                <w:szCs w:val="20"/>
                <w:highlight w:val="none"/>
              </w:rPr>
              <w:t xml:space="preserve">  </w:t>
            </w:r>
            <w:r>
              <w:rPr>
                <w:rFonts w:ascii="宋体" w:hAnsi="宋体" w:eastAsia="宋体" w:cs="宋体"/>
                <w:spacing w:val="-5"/>
                <w:sz w:val="20"/>
                <w:szCs w:val="20"/>
                <w:highlight w:val="none"/>
              </w:rPr>
              <w:t>间</w:t>
            </w:r>
          </w:p>
        </w:tc>
        <w:tc>
          <w:tcPr>
            <w:tcW w:w="3643" w:type="dxa"/>
            <w:gridSpan w:val="4"/>
            <w:vAlign w:val="top"/>
          </w:tcPr>
          <w:p>
            <w:pPr>
              <w:spacing w:before="217" w:line="228" w:lineRule="auto"/>
              <w:ind w:left="875"/>
              <w:rPr>
                <w:rFonts w:ascii="宋体" w:hAnsi="宋体" w:eastAsia="宋体" w:cs="宋体"/>
                <w:sz w:val="20"/>
                <w:szCs w:val="20"/>
                <w:highlight w:val="none"/>
              </w:rPr>
            </w:pPr>
            <w:r>
              <w:rPr>
                <w:rFonts w:ascii="宋体" w:hAnsi="宋体" w:eastAsia="宋体" w:cs="宋体"/>
                <w:spacing w:val="7"/>
                <w:sz w:val="20"/>
                <w:szCs w:val="20"/>
                <w:highlight w:val="none"/>
              </w:rPr>
              <w:t>参加过的类似项目</w:t>
            </w:r>
          </w:p>
        </w:tc>
        <w:tc>
          <w:tcPr>
            <w:tcW w:w="1342" w:type="dxa"/>
            <w:vAlign w:val="top"/>
          </w:tcPr>
          <w:p>
            <w:pPr>
              <w:spacing w:before="217" w:line="228" w:lineRule="auto"/>
              <w:ind w:left="216"/>
              <w:rPr>
                <w:rFonts w:ascii="宋体" w:hAnsi="宋体" w:eastAsia="宋体" w:cs="宋体"/>
                <w:sz w:val="20"/>
                <w:szCs w:val="20"/>
                <w:highlight w:val="none"/>
              </w:rPr>
            </w:pPr>
            <w:r>
              <w:rPr>
                <w:rFonts w:ascii="宋体" w:hAnsi="宋体" w:eastAsia="宋体" w:cs="宋体"/>
                <w:spacing w:val="6"/>
                <w:sz w:val="20"/>
                <w:szCs w:val="20"/>
                <w:highlight w:val="none"/>
              </w:rPr>
              <w:t>担任职务</w:t>
            </w:r>
          </w:p>
        </w:tc>
        <w:tc>
          <w:tcPr>
            <w:tcW w:w="2452" w:type="dxa"/>
            <w:gridSpan w:val="2"/>
            <w:vAlign w:val="top"/>
          </w:tcPr>
          <w:p>
            <w:pPr>
              <w:spacing w:before="217" w:line="229" w:lineRule="auto"/>
              <w:ind w:left="313"/>
              <w:rPr>
                <w:rFonts w:ascii="宋体" w:hAnsi="宋体" w:eastAsia="宋体" w:cs="宋体"/>
                <w:sz w:val="20"/>
                <w:szCs w:val="20"/>
                <w:highlight w:val="none"/>
              </w:rPr>
            </w:pPr>
            <w:r>
              <w:rPr>
                <w:rFonts w:ascii="宋体" w:hAnsi="宋体" w:eastAsia="宋体" w:cs="宋体"/>
                <w:spacing w:val="8"/>
                <w:sz w:val="20"/>
                <w:szCs w:val="20"/>
                <w:highlight w:val="none"/>
              </w:rPr>
              <w:t>委托人及联系电话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649" w:type="dxa"/>
            <w:gridSpan w:val="2"/>
            <w:vAlign w:val="top"/>
          </w:tcPr>
          <w:p>
            <w:pPr>
              <w:rPr>
                <w:rFonts w:ascii="Arial"/>
                <w:sz w:val="21"/>
                <w:highlight w:val="none"/>
              </w:rPr>
            </w:pPr>
          </w:p>
        </w:tc>
        <w:tc>
          <w:tcPr>
            <w:tcW w:w="3643" w:type="dxa"/>
            <w:gridSpan w:val="4"/>
            <w:vAlign w:val="top"/>
          </w:tcPr>
          <w:p>
            <w:pPr>
              <w:rPr>
                <w:rFonts w:ascii="Arial"/>
                <w:sz w:val="21"/>
                <w:highlight w:val="none"/>
              </w:rPr>
            </w:pPr>
          </w:p>
        </w:tc>
        <w:tc>
          <w:tcPr>
            <w:tcW w:w="1342" w:type="dxa"/>
            <w:vAlign w:val="top"/>
          </w:tcPr>
          <w:p>
            <w:pPr>
              <w:rPr>
                <w:rFonts w:ascii="Arial"/>
                <w:sz w:val="21"/>
                <w:highlight w:val="none"/>
              </w:rPr>
            </w:pPr>
          </w:p>
        </w:tc>
        <w:tc>
          <w:tcPr>
            <w:tcW w:w="2452"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649" w:type="dxa"/>
            <w:gridSpan w:val="2"/>
            <w:vAlign w:val="top"/>
          </w:tcPr>
          <w:p>
            <w:pPr>
              <w:rPr>
                <w:rFonts w:ascii="Arial"/>
                <w:sz w:val="21"/>
                <w:highlight w:val="none"/>
              </w:rPr>
            </w:pPr>
          </w:p>
        </w:tc>
        <w:tc>
          <w:tcPr>
            <w:tcW w:w="3643" w:type="dxa"/>
            <w:gridSpan w:val="4"/>
            <w:vAlign w:val="top"/>
          </w:tcPr>
          <w:p>
            <w:pPr>
              <w:rPr>
                <w:rFonts w:ascii="Arial"/>
                <w:sz w:val="21"/>
                <w:highlight w:val="none"/>
              </w:rPr>
            </w:pPr>
          </w:p>
        </w:tc>
        <w:tc>
          <w:tcPr>
            <w:tcW w:w="1342" w:type="dxa"/>
            <w:vAlign w:val="top"/>
          </w:tcPr>
          <w:p>
            <w:pPr>
              <w:rPr>
                <w:rFonts w:ascii="Arial"/>
                <w:sz w:val="21"/>
                <w:highlight w:val="none"/>
              </w:rPr>
            </w:pPr>
          </w:p>
        </w:tc>
        <w:tc>
          <w:tcPr>
            <w:tcW w:w="2452"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649" w:type="dxa"/>
            <w:gridSpan w:val="2"/>
            <w:vAlign w:val="top"/>
          </w:tcPr>
          <w:p>
            <w:pPr>
              <w:rPr>
                <w:rFonts w:ascii="Arial"/>
                <w:sz w:val="21"/>
                <w:highlight w:val="none"/>
              </w:rPr>
            </w:pPr>
          </w:p>
        </w:tc>
        <w:tc>
          <w:tcPr>
            <w:tcW w:w="3643" w:type="dxa"/>
            <w:gridSpan w:val="4"/>
            <w:vAlign w:val="top"/>
          </w:tcPr>
          <w:p>
            <w:pPr>
              <w:rPr>
                <w:rFonts w:ascii="Arial"/>
                <w:sz w:val="21"/>
                <w:highlight w:val="none"/>
              </w:rPr>
            </w:pPr>
          </w:p>
        </w:tc>
        <w:tc>
          <w:tcPr>
            <w:tcW w:w="1342" w:type="dxa"/>
            <w:vAlign w:val="top"/>
          </w:tcPr>
          <w:p>
            <w:pPr>
              <w:rPr>
                <w:rFonts w:ascii="Arial"/>
                <w:sz w:val="21"/>
                <w:highlight w:val="none"/>
              </w:rPr>
            </w:pPr>
          </w:p>
        </w:tc>
        <w:tc>
          <w:tcPr>
            <w:tcW w:w="2452"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649" w:type="dxa"/>
            <w:gridSpan w:val="2"/>
            <w:vAlign w:val="top"/>
          </w:tcPr>
          <w:p>
            <w:pPr>
              <w:rPr>
                <w:rFonts w:ascii="Arial"/>
                <w:sz w:val="21"/>
                <w:highlight w:val="none"/>
              </w:rPr>
            </w:pPr>
          </w:p>
        </w:tc>
        <w:tc>
          <w:tcPr>
            <w:tcW w:w="3643" w:type="dxa"/>
            <w:gridSpan w:val="4"/>
            <w:vAlign w:val="top"/>
          </w:tcPr>
          <w:p>
            <w:pPr>
              <w:rPr>
                <w:rFonts w:ascii="Arial"/>
                <w:sz w:val="21"/>
                <w:highlight w:val="none"/>
              </w:rPr>
            </w:pPr>
          </w:p>
        </w:tc>
        <w:tc>
          <w:tcPr>
            <w:tcW w:w="1342" w:type="dxa"/>
            <w:vAlign w:val="top"/>
          </w:tcPr>
          <w:p>
            <w:pPr>
              <w:rPr>
                <w:rFonts w:ascii="Arial"/>
                <w:sz w:val="21"/>
                <w:highlight w:val="none"/>
              </w:rPr>
            </w:pPr>
          </w:p>
        </w:tc>
        <w:tc>
          <w:tcPr>
            <w:tcW w:w="2452"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649" w:type="dxa"/>
            <w:gridSpan w:val="2"/>
            <w:vAlign w:val="top"/>
          </w:tcPr>
          <w:p>
            <w:pPr>
              <w:rPr>
                <w:rFonts w:ascii="Arial"/>
                <w:sz w:val="21"/>
                <w:highlight w:val="none"/>
              </w:rPr>
            </w:pPr>
          </w:p>
        </w:tc>
        <w:tc>
          <w:tcPr>
            <w:tcW w:w="3643" w:type="dxa"/>
            <w:gridSpan w:val="4"/>
            <w:vAlign w:val="top"/>
          </w:tcPr>
          <w:p>
            <w:pPr>
              <w:rPr>
                <w:rFonts w:ascii="Arial"/>
                <w:sz w:val="21"/>
                <w:highlight w:val="none"/>
              </w:rPr>
            </w:pPr>
          </w:p>
        </w:tc>
        <w:tc>
          <w:tcPr>
            <w:tcW w:w="1342" w:type="dxa"/>
            <w:vAlign w:val="top"/>
          </w:tcPr>
          <w:p>
            <w:pPr>
              <w:rPr>
                <w:rFonts w:ascii="Arial"/>
                <w:sz w:val="21"/>
                <w:highlight w:val="none"/>
              </w:rPr>
            </w:pPr>
          </w:p>
        </w:tc>
        <w:tc>
          <w:tcPr>
            <w:tcW w:w="2452"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649" w:type="dxa"/>
            <w:gridSpan w:val="2"/>
            <w:vAlign w:val="top"/>
          </w:tcPr>
          <w:p>
            <w:pPr>
              <w:rPr>
                <w:rFonts w:ascii="Arial"/>
                <w:sz w:val="21"/>
                <w:highlight w:val="none"/>
              </w:rPr>
            </w:pPr>
          </w:p>
        </w:tc>
        <w:tc>
          <w:tcPr>
            <w:tcW w:w="3643" w:type="dxa"/>
            <w:gridSpan w:val="4"/>
            <w:vAlign w:val="top"/>
          </w:tcPr>
          <w:p>
            <w:pPr>
              <w:rPr>
                <w:rFonts w:ascii="Arial"/>
                <w:sz w:val="21"/>
                <w:highlight w:val="none"/>
              </w:rPr>
            </w:pPr>
          </w:p>
        </w:tc>
        <w:tc>
          <w:tcPr>
            <w:tcW w:w="1342" w:type="dxa"/>
            <w:vAlign w:val="top"/>
          </w:tcPr>
          <w:p>
            <w:pPr>
              <w:rPr>
                <w:rFonts w:ascii="Arial"/>
                <w:sz w:val="21"/>
                <w:highlight w:val="none"/>
              </w:rPr>
            </w:pPr>
          </w:p>
        </w:tc>
        <w:tc>
          <w:tcPr>
            <w:tcW w:w="2452" w:type="dxa"/>
            <w:gridSpan w:val="2"/>
            <w:vAlign w:val="top"/>
          </w:tcPr>
          <w:p>
            <w:pPr>
              <w:rPr>
                <w:rFonts w:ascii="Arial"/>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649" w:type="dxa"/>
            <w:gridSpan w:val="2"/>
            <w:vAlign w:val="top"/>
          </w:tcPr>
          <w:p>
            <w:pPr>
              <w:rPr>
                <w:rFonts w:ascii="Arial"/>
                <w:sz w:val="21"/>
                <w:highlight w:val="none"/>
              </w:rPr>
            </w:pPr>
          </w:p>
        </w:tc>
        <w:tc>
          <w:tcPr>
            <w:tcW w:w="3643" w:type="dxa"/>
            <w:gridSpan w:val="4"/>
            <w:vAlign w:val="top"/>
          </w:tcPr>
          <w:p>
            <w:pPr>
              <w:rPr>
                <w:rFonts w:ascii="Arial"/>
                <w:sz w:val="21"/>
                <w:highlight w:val="none"/>
              </w:rPr>
            </w:pPr>
          </w:p>
        </w:tc>
        <w:tc>
          <w:tcPr>
            <w:tcW w:w="1342" w:type="dxa"/>
            <w:vAlign w:val="top"/>
          </w:tcPr>
          <w:p>
            <w:pPr>
              <w:rPr>
                <w:rFonts w:ascii="Arial"/>
                <w:sz w:val="21"/>
                <w:highlight w:val="none"/>
              </w:rPr>
            </w:pPr>
          </w:p>
        </w:tc>
        <w:tc>
          <w:tcPr>
            <w:tcW w:w="2452" w:type="dxa"/>
            <w:gridSpan w:val="2"/>
            <w:vAlign w:val="top"/>
          </w:tcPr>
          <w:p>
            <w:pPr>
              <w:rPr>
                <w:rFonts w:ascii="Arial"/>
                <w:sz w:val="21"/>
                <w:highlight w:val="none"/>
              </w:rPr>
            </w:pPr>
          </w:p>
        </w:tc>
      </w:tr>
    </w:tbl>
    <w:p>
      <w:pPr>
        <w:rPr>
          <w:rFonts w:hint="eastAsia" w:ascii="宋体" w:hAnsi="宋体" w:cs="宋体"/>
          <w:b/>
          <w:bCs/>
          <w:color w:val="auto"/>
          <w:sz w:val="28"/>
          <w:szCs w:val="28"/>
          <w:highlight w:val="none"/>
          <w:u w:val="none"/>
          <w:lang w:eastAsia="zh-CN"/>
        </w:rPr>
      </w:pPr>
      <w:r>
        <w:rPr>
          <w:rFonts w:hint="eastAsia" w:ascii="宋体" w:hAnsi="宋体" w:cs="宋体"/>
          <w:b w:val="0"/>
          <w:bCs w:val="0"/>
          <w:color w:val="auto"/>
          <w:sz w:val="24"/>
          <w:szCs w:val="24"/>
          <w:highlight w:val="none"/>
          <w:u w:val="none"/>
          <w:lang w:eastAsia="zh-CN"/>
        </w:rPr>
        <w:t>“拟委任的主要人员汇总表 ”应填报满足要求的总监理工程师和其他主要人员的相关信息。“主要人员简历表”中总监理工程师应附身份证、学历证、职称证（如有）、注册监理工程师执业证书、劳动合同和养老保险金缴费证明复印件，管理过的项目业绩须附合同协议书复印件（如有）；其他主要人员应附身份证、学历证、职称证（如有）、有关证书和养老保险金缴费证明复印件。</w:t>
      </w:r>
      <w:r>
        <w:rPr>
          <w:rFonts w:hint="eastAsia" w:ascii="宋体" w:hAnsi="宋体" w:cs="宋体"/>
          <w:b/>
          <w:bCs/>
          <w:color w:val="auto"/>
          <w:sz w:val="28"/>
          <w:szCs w:val="28"/>
          <w:highlight w:val="none"/>
          <w:u w:val="none"/>
          <w:lang w:eastAsia="zh-CN"/>
        </w:rPr>
        <w:br w:type="page"/>
      </w:r>
    </w:p>
    <w:p>
      <w:pPr>
        <w:numPr>
          <w:ilvl w:val="0"/>
          <w:numId w:val="0"/>
        </w:numPr>
        <w:spacing w:before="91" w:line="222" w:lineRule="auto"/>
        <w:jc w:val="center"/>
        <w:outlineLvl w:val="2"/>
        <w:rPr>
          <w:rFonts w:hint="eastAsia" w:ascii="宋体" w:hAnsi="宋体" w:cs="宋体"/>
          <w:b/>
          <w:bCs/>
          <w:color w:val="auto"/>
          <w:sz w:val="28"/>
          <w:szCs w:val="28"/>
          <w:highlight w:val="none"/>
          <w:u w:val="none"/>
          <w:lang w:eastAsia="zh-CN"/>
        </w:rPr>
      </w:pPr>
      <w:r>
        <w:rPr>
          <w:rFonts w:hint="eastAsia" w:ascii="宋体" w:hAnsi="宋体" w:cs="宋体"/>
          <w:b/>
          <w:bCs/>
          <w:color w:val="auto"/>
          <w:sz w:val="28"/>
          <w:szCs w:val="28"/>
          <w:highlight w:val="none"/>
          <w:u w:val="none"/>
          <w:lang w:eastAsia="zh-CN"/>
        </w:rPr>
        <w:t>八 、承 诺 书</w:t>
      </w:r>
    </w:p>
    <w:p>
      <w:pPr>
        <w:numPr>
          <w:ilvl w:val="0"/>
          <w:numId w:val="3"/>
        </w:numPr>
        <w:spacing w:before="91" w:line="222" w:lineRule="auto"/>
        <w:jc w:val="center"/>
        <w:outlineLvl w:val="1"/>
        <w:rPr>
          <w:rFonts w:hint="eastAsia" w:ascii="宋体" w:hAnsi="宋体" w:cs="宋体"/>
          <w:b/>
          <w:bCs/>
          <w:color w:val="auto"/>
          <w:sz w:val="28"/>
          <w:szCs w:val="28"/>
          <w:highlight w:val="none"/>
          <w:u w:val="none"/>
          <w:lang w:eastAsia="zh-CN"/>
        </w:rPr>
      </w:pPr>
      <w:bookmarkStart w:id="383" w:name="_Toc16296"/>
      <w:bookmarkStart w:id="384" w:name="_Toc9971"/>
      <w:r>
        <w:rPr>
          <w:rFonts w:hint="eastAsia" w:ascii="宋体" w:hAnsi="宋体" w:cs="宋体"/>
          <w:b/>
          <w:bCs/>
          <w:color w:val="auto"/>
          <w:sz w:val="28"/>
          <w:szCs w:val="28"/>
          <w:highlight w:val="none"/>
          <w:u w:val="none"/>
          <w:lang w:eastAsia="zh-CN"/>
        </w:rPr>
        <w:t>反商业贿赂承诺书</w:t>
      </w:r>
      <w:bookmarkEnd w:id="383"/>
      <w:bookmarkEnd w:id="384"/>
    </w:p>
    <w:p>
      <w:pPr>
        <w:numPr>
          <w:ilvl w:val="0"/>
          <w:numId w:val="0"/>
        </w:numPr>
        <w:spacing w:before="91" w:line="222" w:lineRule="auto"/>
        <w:jc w:val="both"/>
        <w:rPr>
          <w:rFonts w:hint="eastAsia" w:ascii="宋体" w:hAnsi="宋体" w:cs="宋体"/>
          <w:b/>
          <w:bCs/>
          <w:color w:val="auto"/>
          <w:sz w:val="28"/>
          <w:szCs w:val="28"/>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致：郑州航空港经济综合实验区教育文化卫生体育局（招标人名称）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我单位郑重承诺：</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在</w:t>
      </w:r>
      <w:r>
        <w:rPr>
          <w:rFonts w:hint="eastAsia" w:ascii="宋体" w:hAnsi="宋体" w:cs="宋体"/>
          <w:color w:val="auto"/>
          <w:sz w:val="24"/>
          <w:szCs w:val="24"/>
          <w:highlight w:val="none"/>
          <w:u w:val="single"/>
          <w:lang w:val="en-US" w:eastAsia="zh-CN"/>
        </w:rPr>
        <w:t xml:space="preserve">                       （项目名称、标段）</w:t>
      </w:r>
      <w:r>
        <w:rPr>
          <w:rFonts w:hint="eastAsia" w:ascii="宋体" w:hAnsi="宋体" w:cs="宋体"/>
          <w:color w:val="auto"/>
          <w:sz w:val="24"/>
          <w:szCs w:val="24"/>
          <w:highlight w:val="none"/>
          <w:u w:val="none"/>
          <w:lang w:eastAsia="zh-CN"/>
        </w:rPr>
        <w:t>活动中，我公司保证做到：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一、公平竞争参加本次招标活动。</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二、杜绝任何形式的商业贿赂行为。不向国家工作人员、招标代理机构工作人员、评审 专家、招标人及亲属提供礼品礼金、有价证券、购物券、回扣、佣金、咨询费、劳务费、资助费、宣传费、宴请；不为其报销各种消费凭证，不支付其旅游、娱乐等费用。</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三、若出现上述行为，我公司及参与投标的工作人员愿意接受按照国家法律法规等有关 规定给予的处罚，包括：被取消投标资格、被取消中标资格、接受相关主管部门作出的处罚和处理。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投标人：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eastAsia="zh-CN"/>
        </w:rPr>
        <w:t>（盖单位公章）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1"/>
        <w:rPr>
          <w:rFonts w:hint="eastAsia" w:ascii="宋体" w:hAnsi="宋体" w:cs="宋体"/>
          <w:color w:val="auto"/>
          <w:sz w:val="24"/>
          <w:szCs w:val="24"/>
          <w:highlight w:val="none"/>
          <w:u w:val="none"/>
          <w:lang w:eastAsia="zh-CN"/>
        </w:rPr>
      </w:pPr>
      <w:bookmarkStart w:id="385" w:name="_Toc14110"/>
      <w:bookmarkStart w:id="386" w:name="_Toc4626"/>
      <w:r>
        <w:rPr>
          <w:rFonts w:hint="eastAsia" w:ascii="宋体" w:hAnsi="宋体" w:cs="宋体"/>
          <w:color w:val="auto"/>
          <w:sz w:val="24"/>
          <w:szCs w:val="24"/>
          <w:highlight w:val="none"/>
          <w:u w:val="none"/>
          <w:lang w:eastAsia="zh-CN"/>
        </w:rPr>
        <w:t>法定代表人或其委托代理人：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eastAsia="zh-CN"/>
        </w:rPr>
        <w:t>（签字或盖章）</w:t>
      </w:r>
      <w:bookmarkEnd w:id="385"/>
      <w:bookmarkEnd w:id="386"/>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eastAsia="zh-CN"/>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eastAsia="zh-CN"/>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sectPr>
          <w:footerReference r:id="rId24" w:type="default"/>
          <w:pgSz w:w="11911" w:h="16838"/>
          <w:pgMar w:top="1440" w:right="1083" w:bottom="1440" w:left="1083" w:header="1157" w:footer="737" w:gutter="0"/>
          <w:pgNumType w:fmt="decimal"/>
          <w:cols w:space="0" w:num="1"/>
          <w:rtlGutter w:val="0"/>
          <w:docGrid w:linePitch="0" w:charSpace="0"/>
        </w:sectPr>
      </w:pPr>
    </w:p>
    <w:p>
      <w:pPr>
        <w:numPr>
          <w:ilvl w:val="0"/>
          <w:numId w:val="3"/>
        </w:numPr>
        <w:spacing w:before="91" w:line="222" w:lineRule="auto"/>
        <w:ind w:left="0" w:leftChars="0" w:firstLine="0" w:firstLineChars="0"/>
        <w:jc w:val="center"/>
        <w:outlineLvl w:val="1"/>
        <w:rPr>
          <w:rFonts w:hint="eastAsia" w:ascii="宋体" w:hAnsi="宋体" w:cs="宋体"/>
          <w:b/>
          <w:bCs/>
          <w:color w:val="auto"/>
          <w:sz w:val="28"/>
          <w:szCs w:val="28"/>
          <w:highlight w:val="none"/>
          <w:u w:val="none"/>
          <w:lang w:eastAsia="zh-CN"/>
        </w:rPr>
      </w:pPr>
      <w:bookmarkStart w:id="387" w:name="_Toc13815"/>
      <w:bookmarkStart w:id="388" w:name="_Toc1492"/>
      <w:r>
        <w:rPr>
          <w:rFonts w:hint="eastAsia" w:ascii="宋体" w:hAnsi="宋体" w:cs="宋体"/>
          <w:b/>
          <w:bCs/>
          <w:color w:val="auto"/>
          <w:sz w:val="28"/>
          <w:szCs w:val="28"/>
          <w:highlight w:val="none"/>
          <w:u w:val="none"/>
          <w:lang w:eastAsia="zh-CN"/>
        </w:rPr>
        <w:t>企业投标诚信承诺书</w:t>
      </w:r>
      <w:bookmarkEnd w:id="387"/>
      <w:bookmarkEnd w:id="388"/>
    </w:p>
    <w:p>
      <w:pPr>
        <w:numPr>
          <w:ilvl w:val="0"/>
          <w:numId w:val="0"/>
        </w:numPr>
        <w:spacing w:before="91" w:line="222" w:lineRule="auto"/>
        <w:ind w:leftChars="0"/>
        <w:jc w:val="both"/>
        <w:rPr>
          <w:rFonts w:hint="eastAsia" w:ascii="宋体" w:hAnsi="宋体" w:cs="宋体"/>
          <w:b/>
          <w:bCs/>
          <w:color w:val="auto"/>
          <w:sz w:val="28"/>
          <w:szCs w:val="28"/>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致：郑州航空港经济综合实验区教育文化卫生体育局（招标人名称）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我单位郑重承诺：</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一、遵循公开、公平、公正和诚实信用的原则参加</w:t>
      </w:r>
      <w:r>
        <w:rPr>
          <w:rFonts w:hint="eastAsia" w:ascii="宋体" w:hAnsi="宋体" w:cs="宋体"/>
          <w:color w:val="auto"/>
          <w:sz w:val="24"/>
          <w:szCs w:val="24"/>
          <w:highlight w:val="none"/>
          <w:u w:val="single"/>
          <w:lang w:val="en-US" w:eastAsia="zh-CN"/>
        </w:rPr>
        <w:t xml:space="preserve">             （项目名称）</w:t>
      </w:r>
      <w:r>
        <w:rPr>
          <w:rFonts w:hint="eastAsia" w:ascii="宋体" w:hAnsi="宋体" w:cs="宋体"/>
          <w:color w:val="auto"/>
          <w:sz w:val="24"/>
          <w:szCs w:val="24"/>
          <w:highlight w:val="none"/>
          <w:u w:val="none"/>
          <w:lang w:eastAsia="zh-CN"/>
        </w:rPr>
        <w:t>投标；</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二、我公司提交的投标文件的内容包括但不限于资质资格证书、业绩、人员相关证件、社保及奖项证明等材料均真实、合法有效；</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三、不与其他投标人相互串通投标报价，不排挤其他投标人的公平竞争，损害招标人或其他投标人的合法权益；</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四、不与招标人或招标代理机构串通投标，损害国家利益、社会公共利益或者他人的合法权益；</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五、不向招标人或者评标委员会成员行贿以谋取入围；</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六、不以他人名义投标或者以其他方式弄虚作假，骗取中标；</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七、不出卖资质，让他人挂靠投标；</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八、不恶意压低或抬高投标报价；</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九、不扰乱招投标市场秩序；</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十、不在开标后进行虚假恶意投诉。</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本公司若有违反本承诺内容的行为，愿意承担法律责任，包括：被取消投标资格、被取消中标资格、接受相关主管部门作出的处罚和处理。</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u w:val="none"/>
          <w:lang w:eastAsia="zh-CN"/>
        </w:rPr>
      </w:pPr>
    </w:p>
    <w:p>
      <w:pPr>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投标人：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eastAsia="zh-CN"/>
        </w:rPr>
        <w:t>（盖单位公章）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法定代表人或其委托代理人：</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none"/>
          <w:lang w:eastAsia="zh-CN"/>
        </w:rPr>
        <w:t>（签字或盖章）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eastAsia="zh-CN"/>
        </w:rPr>
        <w:t>年</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eastAsia="zh-CN"/>
        </w:rPr>
        <w:t>月</w:t>
      </w:r>
      <w:r>
        <w:rPr>
          <w:rFonts w:hint="eastAsia" w:ascii="宋体" w:hAnsi="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eastAsia="zh-CN"/>
        </w:rPr>
        <w:sectPr>
          <w:footerReference r:id="rId25" w:type="default"/>
          <w:pgSz w:w="11911" w:h="16838"/>
          <w:pgMar w:top="1440" w:right="1083" w:bottom="1440" w:left="1083" w:header="1157" w:footer="737" w:gutter="0"/>
          <w:pgNumType w:fmt="decimal"/>
          <w:cols w:space="0" w:num="1"/>
          <w:rtlGutter w:val="0"/>
          <w:docGrid w:linePitch="0" w:charSpace="0"/>
        </w:sectPr>
      </w:pPr>
    </w:p>
    <w:p>
      <w:pPr>
        <w:numPr>
          <w:ilvl w:val="0"/>
          <w:numId w:val="3"/>
        </w:numPr>
        <w:spacing w:before="91" w:line="222" w:lineRule="auto"/>
        <w:ind w:left="0" w:leftChars="0" w:firstLine="0" w:firstLineChars="0"/>
        <w:jc w:val="center"/>
        <w:outlineLvl w:val="1"/>
        <w:rPr>
          <w:rFonts w:hint="eastAsia" w:ascii="宋体" w:hAnsi="宋体" w:cs="宋体"/>
          <w:b/>
          <w:bCs/>
          <w:color w:val="auto"/>
          <w:sz w:val="28"/>
          <w:szCs w:val="28"/>
          <w:highlight w:val="none"/>
          <w:u w:val="none"/>
          <w:lang w:eastAsia="zh-CN"/>
        </w:rPr>
      </w:pPr>
      <w:bookmarkStart w:id="389" w:name="_Toc21706"/>
      <w:bookmarkStart w:id="390" w:name="_Toc29646"/>
      <w:r>
        <w:rPr>
          <w:rFonts w:hint="eastAsia" w:ascii="宋体" w:hAnsi="宋体" w:cs="宋体"/>
          <w:b/>
          <w:bCs/>
          <w:color w:val="auto"/>
          <w:sz w:val="28"/>
          <w:szCs w:val="28"/>
          <w:highlight w:val="none"/>
          <w:u w:val="none"/>
          <w:lang w:eastAsia="zh-CN"/>
        </w:rPr>
        <w:t>全省房屋建筑和市政基础设施工程项目</w:t>
      </w:r>
      <w:bookmarkEnd w:id="389"/>
      <w:bookmarkEnd w:id="390"/>
    </w:p>
    <w:p>
      <w:pPr>
        <w:numPr>
          <w:ilvl w:val="0"/>
          <w:numId w:val="0"/>
        </w:numPr>
        <w:spacing w:before="91" w:line="222" w:lineRule="auto"/>
        <w:ind w:leftChars="0"/>
        <w:jc w:val="center"/>
        <w:outlineLvl w:val="2"/>
        <w:rPr>
          <w:rFonts w:hint="eastAsia" w:ascii="宋体" w:hAnsi="宋体" w:cs="宋体"/>
          <w:b/>
          <w:bCs/>
          <w:color w:val="auto"/>
          <w:sz w:val="28"/>
          <w:szCs w:val="28"/>
          <w:highlight w:val="none"/>
          <w:u w:val="none"/>
          <w:lang w:eastAsia="zh-CN"/>
        </w:rPr>
      </w:pPr>
      <w:r>
        <w:rPr>
          <w:rFonts w:hint="eastAsia" w:ascii="宋体" w:hAnsi="宋体" w:cs="宋体"/>
          <w:b/>
          <w:bCs/>
          <w:color w:val="auto"/>
          <w:sz w:val="28"/>
          <w:szCs w:val="28"/>
          <w:highlight w:val="none"/>
          <w:u w:val="none"/>
          <w:lang w:eastAsia="zh-CN"/>
        </w:rPr>
        <w:t>招标投标活动承诺书</w:t>
      </w:r>
    </w:p>
    <w:p>
      <w:pPr>
        <w:spacing w:line="241" w:lineRule="auto"/>
        <w:rPr>
          <w:rFonts w:ascii="Arial"/>
          <w:sz w:val="21"/>
          <w:highlight w:val="none"/>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我单位承诺，在</w:t>
      </w:r>
      <w:r>
        <w:rPr>
          <w:rFonts w:hint="eastAsia" w:ascii="宋体" w:hAnsi="宋体" w:cs="宋体"/>
          <w:color w:val="auto"/>
          <w:sz w:val="24"/>
          <w:szCs w:val="24"/>
          <w:highlight w:val="none"/>
          <w:u w:val="single"/>
          <w:lang w:val="en-US" w:eastAsia="zh-CN"/>
        </w:rPr>
        <w:t xml:space="preserve">             （项目名称、标段）</w:t>
      </w:r>
      <w:r>
        <w:rPr>
          <w:rFonts w:hint="eastAsia" w:ascii="宋体" w:hAnsi="宋体" w:cs="宋体"/>
          <w:color w:val="auto"/>
          <w:sz w:val="24"/>
          <w:szCs w:val="24"/>
          <w:highlight w:val="none"/>
          <w:u w:val="none"/>
          <w:lang w:val="en-US" w:eastAsia="zh-CN"/>
        </w:rPr>
        <w:t>招投标活动中，自觉遵守《中华人民共和国招标投标法》《中华人民共和国招标投标法实施条例》、河南省实施《中华人民共和国招标投标法》办法等招标投标相关法律、法规和制度规定，如有违反，愿承担相关法律责任。</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 xml:space="preserve"> </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投标人：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（盖单位公章） </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法定代表人：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（签字或盖章）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single"/>
          <w:lang w:val="en-US" w:eastAsia="zh-CN"/>
        </w:rPr>
        <w:tab/>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月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sectPr>
          <w:footerReference r:id="rId26" w:type="default"/>
          <w:pgSz w:w="11911" w:h="16838"/>
          <w:pgMar w:top="1440" w:right="1083" w:bottom="1440" w:left="1083" w:header="1157" w:footer="737" w:gutter="0"/>
          <w:pgNumType w:fmt="decimal"/>
          <w:cols w:space="0" w:num="1"/>
          <w:rtlGutter w:val="0"/>
          <w:docGrid w:linePitch="0" w:charSpace="0"/>
        </w:sectPr>
      </w:pPr>
    </w:p>
    <w:p>
      <w:pPr>
        <w:spacing w:before="57" w:line="222" w:lineRule="auto"/>
        <w:jc w:val="center"/>
        <w:outlineLvl w:val="1"/>
        <w:rPr>
          <w:rFonts w:hint="eastAsia" w:ascii="宋体" w:hAnsi="宋体" w:cs="宋体"/>
          <w:b/>
          <w:bCs/>
          <w:color w:val="auto"/>
          <w:sz w:val="28"/>
          <w:szCs w:val="28"/>
          <w:highlight w:val="none"/>
          <w:u w:val="none"/>
          <w:lang w:eastAsia="zh-CN"/>
        </w:rPr>
      </w:pPr>
      <w:bookmarkStart w:id="391" w:name="_Toc16901"/>
      <w:bookmarkStart w:id="392" w:name="_Toc27115"/>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五</w:t>
      </w:r>
      <w:r>
        <w:rPr>
          <w:rFonts w:hint="eastAsia" w:ascii="宋体" w:hAnsi="宋体" w:cs="宋体"/>
          <w:b/>
          <w:bCs/>
          <w:color w:val="auto"/>
          <w:sz w:val="28"/>
          <w:szCs w:val="28"/>
          <w:highlight w:val="none"/>
          <w:u w:val="none"/>
          <w:lang w:eastAsia="zh-CN"/>
        </w:rPr>
        <w:t>）郑州市房屋建筑和市政基础设施工程项目</w:t>
      </w:r>
      <w:bookmarkEnd w:id="391"/>
      <w:bookmarkEnd w:id="392"/>
    </w:p>
    <w:p>
      <w:pPr>
        <w:spacing w:before="57" w:line="222" w:lineRule="auto"/>
        <w:jc w:val="center"/>
        <w:outlineLvl w:val="2"/>
        <w:rPr>
          <w:rFonts w:hint="eastAsia" w:ascii="宋体" w:hAnsi="宋体" w:cs="宋体"/>
          <w:b/>
          <w:bCs/>
          <w:color w:val="auto"/>
          <w:sz w:val="28"/>
          <w:szCs w:val="28"/>
          <w:highlight w:val="none"/>
          <w:u w:val="none"/>
          <w:lang w:eastAsia="zh-CN"/>
        </w:rPr>
      </w:pPr>
      <w:r>
        <w:rPr>
          <w:rFonts w:hint="eastAsia" w:ascii="宋体" w:hAnsi="宋体" w:cs="宋体"/>
          <w:b/>
          <w:bCs/>
          <w:color w:val="auto"/>
          <w:sz w:val="28"/>
          <w:szCs w:val="28"/>
          <w:highlight w:val="none"/>
          <w:u w:val="none"/>
          <w:lang w:eastAsia="zh-CN"/>
        </w:rPr>
        <w:t>招标投标活动承诺书</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我单位承诺，在</w:t>
      </w:r>
      <w:r>
        <w:rPr>
          <w:rFonts w:hint="eastAsia" w:ascii="宋体" w:hAnsi="宋体" w:cs="宋体"/>
          <w:color w:val="auto"/>
          <w:sz w:val="24"/>
          <w:szCs w:val="24"/>
          <w:highlight w:val="none"/>
          <w:u w:val="single"/>
          <w:lang w:val="en-US" w:eastAsia="zh-CN"/>
        </w:rPr>
        <w:t xml:space="preserve">             （项目名称、标段）</w:t>
      </w:r>
      <w:r>
        <w:rPr>
          <w:rFonts w:hint="eastAsia" w:ascii="宋体" w:hAnsi="宋体" w:cs="宋体"/>
          <w:color w:val="auto"/>
          <w:sz w:val="24"/>
          <w:szCs w:val="24"/>
          <w:highlight w:val="none"/>
          <w:u w:val="none"/>
          <w:lang w:val="en-US" w:eastAsia="zh-CN"/>
        </w:rPr>
        <w:t>项目招投标活动中，自觉遵守《中华人民共和国招标投标法》、《中华人民共和国招标投标法实施条例》、河南省实施《中华人民共和国招标投标法》办法等招标投标相关法律、法规和制度规定，如有违反，愿承担相关法律责任。</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sectPr>
          <w:footerReference r:id="rId27" w:type="default"/>
          <w:pgSz w:w="11911" w:h="16838"/>
          <w:pgMar w:top="1440" w:right="1083" w:bottom="1440" w:left="1083" w:header="1157" w:footer="737" w:gutter="0"/>
          <w:pgNumType w:fmt="decimal"/>
          <w:cols w:space="0" w:num="1"/>
          <w:rtlGutter w:val="0"/>
          <w:docGrid w:linePitch="0" w:charSpace="0"/>
        </w:sectPr>
      </w:pP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承诺人（法人）：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（签字或盖章）；      </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 xml:space="preserve">                       联系电话：</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                        </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投标人：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（盖单位公章）</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sectPr>
          <w:type w:val="continuous"/>
          <w:pgSz w:w="11911" w:h="16838"/>
          <w:pgMar w:top="1440" w:right="1083" w:bottom="1440" w:left="1083" w:header="1157" w:footer="737" w:gutter="0"/>
          <w:pgNumType w:fmt="decimal"/>
          <w:cols w:space="0" w:num="1"/>
          <w:rtlGutter w:val="0"/>
          <w:docGrid w:linePitch="0" w:charSpace="0"/>
        </w:sectPr>
      </w:pPr>
    </w:p>
    <w:p>
      <w:pPr>
        <w:numPr>
          <w:ilvl w:val="0"/>
          <w:numId w:val="0"/>
        </w:numPr>
        <w:spacing w:before="57" w:line="222" w:lineRule="auto"/>
        <w:jc w:val="center"/>
        <w:outlineLvl w:val="1"/>
        <w:rPr>
          <w:rFonts w:hint="eastAsia" w:ascii="宋体" w:hAnsi="宋体" w:cs="宋体"/>
          <w:b/>
          <w:bCs/>
          <w:color w:val="auto"/>
          <w:sz w:val="28"/>
          <w:szCs w:val="28"/>
          <w:highlight w:val="none"/>
          <w:u w:val="none"/>
          <w:lang w:eastAsia="zh-CN"/>
        </w:rPr>
      </w:pPr>
      <w:bookmarkStart w:id="393" w:name="_Toc27708"/>
      <w:bookmarkStart w:id="394" w:name="_Toc19116"/>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六）</w:t>
      </w:r>
      <w:r>
        <w:rPr>
          <w:rFonts w:hint="eastAsia" w:ascii="宋体" w:hAnsi="宋体" w:cs="宋体"/>
          <w:b/>
          <w:bCs/>
          <w:color w:val="auto"/>
          <w:sz w:val="28"/>
          <w:szCs w:val="28"/>
          <w:highlight w:val="none"/>
          <w:u w:val="none"/>
          <w:lang w:eastAsia="zh-CN"/>
        </w:rPr>
        <w:t>真实性承诺书</w:t>
      </w:r>
      <w:bookmarkEnd w:id="393"/>
      <w:bookmarkEnd w:id="394"/>
    </w:p>
    <w:p>
      <w:pPr>
        <w:numPr>
          <w:ilvl w:val="0"/>
          <w:numId w:val="0"/>
        </w:numPr>
        <w:spacing w:before="57" w:line="222" w:lineRule="auto"/>
        <w:ind w:left="2227" w:leftChars="0"/>
        <w:jc w:val="both"/>
        <w:rPr>
          <w:rFonts w:hint="eastAsia" w:ascii="宋体" w:hAnsi="宋体" w:cs="宋体"/>
          <w:b/>
          <w:bCs/>
          <w:color w:val="auto"/>
          <w:sz w:val="28"/>
          <w:szCs w:val="28"/>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我单位参加：</w:t>
      </w:r>
      <w:r>
        <w:rPr>
          <w:rFonts w:hint="eastAsia" w:ascii="宋体" w:hAnsi="宋体" w:cs="宋体"/>
          <w:color w:val="auto"/>
          <w:sz w:val="24"/>
          <w:szCs w:val="24"/>
          <w:highlight w:val="none"/>
          <w:u w:val="single"/>
          <w:lang w:val="en-US" w:eastAsia="zh-CN"/>
        </w:rPr>
        <w:t xml:space="preserve">             （项目名称、标段）</w:t>
      </w:r>
      <w:r>
        <w:rPr>
          <w:rFonts w:hint="eastAsia" w:ascii="宋体" w:hAnsi="宋体" w:cs="宋体"/>
          <w:color w:val="auto"/>
          <w:sz w:val="24"/>
          <w:szCs w:val="24"/>
          <w:highlight w:val="none"/>
          <w:u w:val="none"/>
          <w:lang w:val="en-US" w:eastAsia="zh-CN"/>
        </w:rPr>
        <w:t>投标，我单位承诺投标文件中涉及营业执照、资质、业绩、获奖、人员、社保、纳税、各类证书等内容，均真实有效。否则，造成的一切法律后果和损失均由我公司承担，包括：自愿接受被取消投标资格、被取消中标资格、接受相关主管部门作出的处罚和处理，自愿接受招标人要求赔偿的损失等。</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特此承诺。</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投标人：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（盖单位公章）</w:t>
      </w:r>
    </w:p>
    <w:p>
      <w:pPr>
        <w:pageBreakBefore w:val="0"/>
        <w:widowControl w:val="0"/>
        <w:kinsoku/>
        <w:wordWrap/>
        <w:overflowPunct/>
        <w:topLinePunct w:val="0"/>
        <w:autoSpaceDE/>
        <w:autoSpaceDN/>
        <w:bidi w:val="0"/>
        <w:adjustRightInd/>
        <w:snapToGrid/>
        <w:spacing w:line="360" w:lineRule="auto"/>
        <w:jc w:val="right"/>
        <w:textAlignment w:val="auto"/>
        <w:outlineLvl w:val="2"/>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法定代表人或其委托代理人：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（签字或盖章）</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sectPr>
          <w:footerReference r:id="rId28" w:type="default"/>
          <w:pgSz w:w="11911" w:h="16838"/>
          <w:pgMar w:top="1440" w:right="1083" w:bottom="1440" w:left="1083" w:header="1157" w:footer="737" w:gutter="0"/>
          <w:pgNumType w:fmt="decimal"/>
          <w:cols w:space="0" w:num="1"/>
          <w:rtlGutter w:val="0"/>
          <w:docGrid w:linePitch="0" w:charSpace="0"/>
        </w:sectPr>
      </w:pPr>
    </w:p>
    <w:p>
      <w:pPr>
        <w:numPr>
          <w:ilvl w:val="0"/>
          <w:numId w:val="0"/>
        </w:numPr>
        <w:spacing w:before="57" w:line="222" w:lineRule="auto"/>
        <w:jc w:val="center"/>
        <w:outlineLvl w:val="1"/>
        <w:rPr>
          <w:rFonts w:hint="eastAsia" w:ascii="宋体" w:hAnsi="宋体" w:cs="宋体"/>
          <w:b/>
          <w:bCs/>
          <w:color w:val="auto"/>
          <w:sz w:val="28"/>
          <w:szCs w:val="28"/>
          <w:highlight w:val="none"/>
          <w:u w:val="none"/>
          <w:lang w:eastAsia="zh-CN"/>
        </w:rPr>
      </w:pPr>
      <w:bookmarkStart w:id="395" w:name="_Toc28784"/>
      <w:bookmarkStart w:id="396" w:name="_Toc10534"/>
      <w:r>
        <w:rPr>
          <w:rFonts w:hint="eastAsia" w:ascii="宋体" w:hAnsi="宋体" w:cs="宋体"/>
          <w:b/>
          <w:bCs/>
          <w:color w:val="auto"/>
          <w:sz w:val="28"/>
          <w:szCs w:val="28"/>
          <w:highlight w:val="none"/>
          <w:u w:val="none"/>
          <w:lang w:eastAsia="zh-CN"/>
        </w:rPr>
        <w:t>（</w:t>
      </w:r>
      <w:r>
        <w:rPr>
          <w:rFonts w:hint="eastAsia" w:ascii="宋体" w:hAnsi="宋体" w:cs="宋体"/>
          <w:b/>
          <w:bCs/>
          <w:color w:val="auto"/>
          <w:sz w:val="28"/>
          <w:szCs w:val="28"/>
          <w:highlight w:val="none"/>
          <w:u w:val="none"/>
          <w:lang w:val="en-US" w:eastAsia="zh-CN"/>
        </w:rPr>
        <w:t>七</w:t>
      </w:r>
      <w:r>
        <w:rPr>
          <w:rFonts w:hint="eastAsia" w:ascii="宋体" w:hAnsi="宋体" w:cs="宋体"/>
          <w:b/>
          <w:bCs/>
          <w:color w:val="auto"/>
          <w:sz w:val="28"/>
          <w:szCs w:val="28"/>
          <w:highlight w:val="none"/>
          <w:u w:val="none"/>
          <w:lang w:eastAsia="zh-CN"/>
        </w:rPr>
        <w:t>）中小企业声明函</w:t>
      </w:r>
      <w:bookmarkEnd w:id="395"/>
      <w:bookmarkEnd w:id="396"/>
    </w:p>
    <w:p>
      <w:pPr>
        <w:numPr>
          <w:ilvl w:val="0"/>
          <w:numId w:val="0"/>
        </w:numPr>
        <w:spacing w:before="57" w:line="222" w:lineRule="auto"/>
        <w:jc w:val="both"/>
        <w:rPr>
          <w:rFonts w:hint="eastAsia" w:ascii="宋体" w:hAnsi="宋体" w:cs="宋体"/>
          <w:b/>
          <w:bCs/>
          <w:color w:val="auto"/>
          <w:sz w:val="28"/>
          <w:szCs w:val="28"/>
          <w:highlight w:val="none"/>
          <w:u w:val="none"/>
          <w:lang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本公司（联合体）郑重声明，根据《政府采购促进中小企业发展管理办法》（财库(2020)46号）的规定，本公司（联合体）参加</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(单位名称)的</w:t>
      </w:r>
      <w:r>
        <w:rPr>
          <w:rFonts w:hint="eastAsia" w:ascii="宋体" w:hAnsi="宋体" w:cs="宋体"/>
          <w:color w:val="auto"/>
          <w:sz w:val="24"/>
          <w:szCs w:val="24"/>
          <w:highlight w:val="none"/>
          <w:u w:val="single"/>
          <w:lang w:val="en-US" w:eastAsia="zh-CN"/>
        </w:rPr>
        <w:t xml:space="preserve">             （项目名称、标段）</w:t>
      </w:r>
      <w:r>
        <w:rPr>
          <w:rFonts w:hint="eastAsia" w:ascii="宋体" w:hAnsi="宋体" w:cs="宋体"/>
          <w:color w:val="auto"/>
          <w:sz w:val="24"/>
          <w:szCs w:val="24"/>
          <w:highlight w:val="none"/>
          <w:u w:val="none"/>
          <w:lang w:val="en-US" w:eastAsia="zh-CN"/>
        </w:rPr>
        <w:t>采购活动，工程的施工单位全部为符合政策要求的中小企业承接。相关企业（含联合体中的中小企业、签订分包意向协议的中小企业）的具体情况如下：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施工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标段（标的名称）,属于</w:t>
      </w:r>
      <w:r>
        <w:rPr>
          <w:rFonts w:hint="eastAsia" w:ascii="宋体" w:hAnsi="宋体" w:cs="宋体"/>
          <w:color w:val="auto"/>
          <w:sz w:val="24"/>
          <w:szCs w:val="24"/>
          <w:highlight w:val="none"/>
          <w:u w:val="single"/>
          <w:lang w:val="en-US" w:eastAsia="zh-CN"/>
        </w:rPr>
        <w:t>建筑业（采购文件中明确的所属行业）</w:t>
      </w:r>
      <w:r>
        <w:rPr>
          <w:rFonts w:hint="eastAsia" w:ascii="宋体" w:hAnsi="宋体" w:cs="宋体"/>
          <w:color w:val="auto"/>
          <w:sz w:val="24"/>
          <w:szCs w:val="24"/>
          <w:highlight w:val="none"/>
          <w:u w:val="none"/>
          <w:lang w:val="en-US" w:eastAsia="zh-CN"/>
        </w:rPr>
        <w:t>;承建（承接）企业为</w:t>
      </w:r>
      <w:r>
        <w:rPr>
          <w:rFonts w:hint="eastAsia" w:ascii="宋体" w:hAnsi="宋体" w:cs="宋体"/>
          <w:color w:val="auto"/>
          <w:sz w:val="24"/>
          <w:szCs w:val="24"/>
          <w:highlight w:val="none"/>
          <w:u w:val="single"/>
          <w:lang w:val="en-US" w:eastAsia="zh-CN"/>
        </w:rPr>
        <w:t xml:space="preserve"> （企业名称）</w:t>
      </w:r>
      <w:r>
        <w:rPr>
          <w:rFonts w:hint="eastAsia" w:ascii="宋体" w:hAnsi="宋体" w:cs="宋体"/>
          <w:color w:val="auto"/>
          <w:sz w:val="24"/>
          <w:szCs w:val="24"/>
          <w:highlight w:val="none"/>
          <w:u w:val="none"/>
          <w:lang w:val="en-US" w:eastAsia="zh-CN"/>
        </w:rPr>
        <w:t xml:space="preserve"> ,从业人员</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人，营业收入为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万元，资产总额为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万元①。</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属于（中型企业、小型企业、微型企业）</w:t>
      </w:r>
      <w:r>
        <w:rPr>
          <w:rFonts w:hint="eastAsia" w:ascii="宋体" w:hAnsi="宋体" w:cs="宋体"/>
          <w:color w:val="auto"/>
          <w:sz w:val="24"/>
          <w:szCs w:val="24"/>
          <w:highlight w:val="none"/>
          <w:u w:val="none"/>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以上企业，不属于大企业的分支机构，不存在控股股东为大企业的情形，也不存在与大企业的负责人为同一人的情形。</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本企业对上述声明内容的真实性负责。如有虚假，将依法承担相应责任。</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080" w:firstLineChars="1700"/>
        <w:jc w:val="left"/>
        <w:textAlignment w:val="auto"/>
        <w:outlineLvl w:val="2"/>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投标人：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（盖单位公章）</w:t>
      </w:r>
    </w:p>
    <w:p>
      <w:pPr>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日 期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日</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注：①从业人员、营业收入、资产总额填报上一年度数据，无上一年度数据的新成立</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企业可不填报。</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②若投标人为非（中型、小型、微型）企业，本声明函无需填写（可附原稿）</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highlight w:val="none"/>
          <w:u w:val="none"/>
          <w:lang w:val="en-US" w:eastAsia="zh-CN"/>
        </w:rPr>
        <w:sectPr>
          <w:footerReference r:id="rId29" w:type="default"/>
          <w:pgSz w:w="11911" w:h="16838"/>
          <w:pgMar w:top="1440" w:right="1083" w:bottom="1440" w:left="1083" w:header="1157" w:footer="737" w:gutter="0"/>
          <w:pgNumType w:fmt="decimal"/>
          <w:cols w:space="0" w:num="1"/>
          <w:rtlGutter w:val="0"/>
          <w:docGrid w:linePitch="0" w:charSpace="0"/>
        </w:sectPr>
      </w:pPr>
    </w:p>
    <w:p>
      <w:pPr>
        <w:numPr>
          <w:ilvl w:val="0"/>
          <w:numId w:val="0"/>
        </w:numPr>
        <w:spacing w:before="57" w:line="222" w:lineRule="auto"/>
        <w:jc w:val="center"/>
        <w:rPr>
          <w:rFonts w:hint="eastAsia" w:ascii="宋体" w:hAnsi="宋体" w:cs="宋体"/>
          <w:b/>
          <w:bCs/>
          <w:color w:val="auto"/>
          <w:sz w:val="28"/>
          <w:szCs w:val="28"/>
          <w:highlight w:val="none"/>
          <w:u w:val="none"/>
          <w:lang w:eastAsia="zh-CN"/>
        </w:rPr>
      </w:pPr>
      <w:r>
        <w:rPr>
          <w:rFonts w:hint="eastAsia" w:ascii="宋体" w:hAnsi="宋体" w:cs="宋体"/>
          <w:b/>
          <w:bCs/>
          <w:color w:val="auto"/>
          <w:sz w:val="28"/>
          <w:szCs w:val="28"/>
          <w:highlight w:val="none"/>
          <w:u w:val="none"/>
          <w:lang w:eastAsia="zh-CN"/>
        </w:rPr>
        <w:t>九、 服务承诺</w:t>
      </w:r>
    </w:p>
    <w:p>
      <w:pPr>
        <w:rPr>
          <w:highlight w:val="none"/>
        </w:rPr>
        <w:sectPr>
          <w:footerReference r:id="rId30" w:type="default"/>
          <w:pgSz w:w="11911" w:h="16838"/>
          <w:pgMar w:top="1440" w:right="1083" w:bottom="1440" w:left="1083" w:header="1157" w:footer="737" w:gutter="0"/>
          <w:pgNumType w:fmt="decimal"/>
          <w:cols w:space="0" w:num="1"/>
          <w:rtlGutter w:val="0"/>
          <w:docGrid w:linePitch="0" w:charSpace="0"/>
        </w:sectPr>
      </w:pPr>
    </w:p>
    <w:p>
      <w:pPr>
        <w:numPr>
          <w:ilvl w:val="0"/>
          <w:numId w:val="4"/>
        </w:numPr>
        <w:spacing w:before="57" w:line="222" w:lineRule="auto"/>
        <w:jc w:val="center"/>
        <w:rPr>
          <w:rFonts w:hint="eastAsia" w:ascii="宋体" w:hAnsi="宋体" w:cs="宋体"/>
          <w:b/>
          <w:bCs/>
          <w:color w:val="auto"/>
          <w:sz w:val="28"/>
          <w:szCs w:val="28"/>
          <w:highlight w:val="none"/>
          <w:u w:val="none"/>
          <w:lang w:eastAsia="zh-CN"/>
        </w:rPr>
      </w:pPr>
      <w:r>
        <w:rPr>
          <w:rFonts w:hint="eastAsia" w:ascii="宋体" w:hAnsi="宋体" w:cs="宋体"/>
          <w:b/>
          <w:bCs/>
          <w:color w:val="auto"/>
          <w:sz w:val="28"/>
          <w:szCs w:val="28"/>
          <w:highlight w:val="none"/>
          <w:u w:val="none"/>
          <w:lang w:eastAsia="zh-CN"/>
        </w:rPr>
        <w:t>其他资料</w:t>
      </w:r>
    </w:p>
    <w:p>
      <w:pPr>
        <w:numPr>
          <w:ilvl w:val="0"/>
          <w:numId w:val="0"/>
        </w:numPr>
        <w:spacing w:before="57" w:line="222" w:lineRule="auto"/>
        <w:jc w:val="both"/>
        <w:rPr>
          <w:rFonts w:hint="eastAsia" w:ascii="宋体" w:hAnsi="宋体" w:cs="宋体"/>
          <w:b/>
          <w:bCs/>
          <w:color w:val="auto"/>
          <w:sz w:val="28"/>
          <w:szCs w:val="28"/>
          <w:highlight w:val="none"/>
          <w:u w:val="none"/>
          <w:lang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1.企业业绩、企业实力证明材料。</w:t>
      </w: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2.附投标人认为对投标有利的其他材料。</w:t>
      </w: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u w:val="none"/>
          <w:lang w:val="en-US" w:eastAsia="zh-CN"/>
        </w:rPr>
      </w:pPr>
    </w:p>
    <w:sectPr>
      <w:pgSz w:w="11911" w:h="16838"/>
      <w:pgMar w:top="1440" w:right="1083" w:bottom="1440" w:left="1083" w:header="1157" w:footer="737"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208263-7C73-4833-BA4A-F8D378576C10}"/>
  </w:font>
  <w:font w:name="黑体">
    <w:panose1 w:val="02010609060101010101"/>
    <w:charset w:val="86"/>
    <w:family w:val="auto"/>
    <w:pitch w:val="default"/>
    <w:sig w:usb0="800002BF" w:usb1="38CF7CFA" w:usb2="00000016" w:usb3="00000000" w:csb0="00040001" w:csb1="00000000"/>
    <w:embedRegular r:id="rId2" w:fontKey="{6517CEBD-EBA1-4CED-ABA0-9481997F9C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embedRegular r:id="rId3" w:fontKey="{E787B7A6-FBE1-4E12-A317-F925DEA9C359}"/>
  </w:font>
  <w:font w:name="Microsoft JhengHei">
    <w:panose1 w:val="020B0604030504040204"/>
    <w:charset w:val="88"/>
    <w:family w:val="swiss"/>
    <w:pitch w:val="default"/>
    <w:sig w:usb0="000002A7" w:usb1="28CF4400" w:usb2="00000016" w:usb3="00000000" w:csb0="00100009"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4" w:fontKey="{717FC175-0F57-4761-BD5F-AA21FA8492F7}"/>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embedRegular r:id="rId5" w:fontKey="{98596D38-72C9-4F75-9F34-17633159BA7B}"/>
  </w:font>
  <w:font w:name="华文中宋">
    <w:panose1 w:val="02010600040101010101"/>
    <w:charset w:val="86"/>
    <w:family w:val="auto"/>
    <w:pitch w:val="default"/>
    <w:sig w:usb0="00000287" w:usb1="080F0000" w:usb2="00000000" w:usb3="00000000" w:csb0="0004009F" w:csb1="DFD70000"/>
    <w:embedRegular r:id="rId6" w:fontKey="{26C13875-2846-4A08-82D4-0CD5A3EF9585}"/>
  </w:font>
  <w:font w:name="华文楷体">
    <w:panose1 w:val="02010600040101010101"/>
    <w:charset w:val="86"/>
    <w:family w:val="auto"/>
    <w:pitch w:val="default"/>
    <w:sig w:usb0="00000287" w:usb1="080F0000" w:usb2="00000000" w:usb3="00000000" w:csb0="0004009F" w:csb1="DFD70000"/>
    <w:embedRegular r:id="rId7" w:fontKey="{F0FCB373-69D6-41E5-9859-1B299B243465}"/>
  </w:font>
  <w:font w:name="ˎ̥">
    <w:altName w:val="Times New Roman"/>
    <w:panose1 w:val="00000000000000000000"/>
    <w:charset w:val="00"/>
    <w:family w:val="roman"/>
    <w:pitch w:val="default"/>
    <w:sig w:usb0="00000000" w:usb1="00000000" w:usb2="00000000" w:usb3="00000000" w:csb0="00040001" w:csb1="00000000"/>
    <w:embedRegular r:id="rId8" w:fontKey="{F95A01DC-F215-47F4-9E6A-68A84B20A58C}"/>
  </w:font>
  <w:font w:name="BatangChe">
    <w:altName w:val="Malgun Gothic"/>
    <w:panose1 w:val="02030609000101010101"/>
    <w:charset w:val="81"/>
    <w:family w:val="modern"/>
    <w:pitch w:val="default"/>
    <w:sig w:usb0="00000000" w:usb1="00000000" w:usb2="00000030" w:usb3="00000000" w:csb0="4008009F" w:csb1="DFD70000"/>
    <w:embedRegular r:id="rId9" w:fontKey="{166CF7C1-9B98-4F17-B74D-246FF62C79A1}"/>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6072505</wp:posOffset>
              </wp:positionH>
              <wp:positionV relativeFrom="paragraph">
                <wp:posOffset>9525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left:478.15pt;margin-top:0.75pt;height:144pt;width:144pt;mso-position-horizontal-relative:margin;mso-wrap-style:none;z-index:251660288;mso-width-relative:page;mso-height-relative:page;" filled="f" stroked="f" coordsize="21600,21600" o:gfxdata="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lRZa7WAAAACgEAAA8AAAAAAAAAAQAgAAAAIgAAAGRycy9kb3ducmV2Lnht&#10;bFBLAQIUABQAAAAIAIdO4kBnzOrywgEAAI0DAAAOAAAAAAAAAAEAIAAAACUBAABkcnMvZTJvRG9j&#10;LnhtbFBLBQYAAAAABgAGAFkBAABZBQAAAAA=&#10;">
              <v:fill on="f" focussize="0,0"/>
              <v:stroke on="f"/>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Style w:val="39"/>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23"/>
                      <w:rPr>
                        <w:rStyle w:val="39"/>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73"/>
      <w:rPr>
        <w:rFonts w:ascii="宋体" w:hAnsi="宋体" w:eastAsia="宋体" w:cs="宋体"/>
        <w:sz w:val="16"/>
        <w:szCs w:val="16"/>
      </w:rPr>
    </w:pPr>
    <w:r>
      <w:rPr>
        <w:sz w:val="16"/>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94"/>
      <w:rPr>
        <w:rFonts w:ascii="宋体" w:hAnsi="宋体" w:eastAsia="宋体" w:cs="宋体"/>
        <w:sz w:val="14"/>
        <w:szCs w:val="14"/>
      </w:rPr>
    </w:pPr>
    <w:r>
      <w:rPr>
        <w:sz w:val="1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43"/>
      <w:rPr>
        <w:rFonts w:ascii="宋体" w:hAnsi="宋体" w:eastAsia="宋体" w:cs="宋体"/>
        <w:sz w:val="14"/>
        <w:szCs w:val="14"/>
      </w:rPr>
    </w:pPr>
    <w:r>
      <w:rPr>
        <w:sz w:val="1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224"/>
      <w:rPr>
        <w:rFonts w:ascii="宋体" w:hAnsi="宋体" w:eastAsia="宋体" w:cs="宋体"/>
        <w:sz w:val="14"/>
        <w:szCs w:val="14"/>
      </w:rPr>
    </w:pPr>
    <w:r>
      <w:rPr>
        <w:sz w:val="1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94"/>
      <w:rPr>
        <w:rFonts w:ascii="宋体" w:hAnsi="宋体" w:eastAsia="宋体" w:cs="宋体"/>
        <w:sz w:val="14"/>
        <w:szCs w:val="14"/>
      </w:rPr>
    </w:pPr>
    <w:r>
      <w:rPr>
        <w:sz w:val="1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43"/>
      <w:rPr>
        <w:rFonts w:ascii="宋体" w:hAnsi="宋体" w:eastAsia="宋体" w:cs="宋体"/>
        <w:sz w:val="14"/>
        <w:szCs w:val="14"/>
      </w:rPr>
    </w:pPr>
    <w:r>
      <w:rPr>
        <w:sz w:val="1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53"/>
      <w:rPr>
        <w:rFonts w:ascii="宋体" w:hAnsi="宋体" w:eastAsia="宋体" w:cs="宋体"/>
        <w:sz w:val="14"/>
        <w:szCs w:val="14"/>
      </w:rPr>
    </w:pPr>
    <w:r>
      <w:rPr>
        <w:sz w:val="1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43"/>
      <w:rPr>
        <w:rFonts w:ascii="宋体" w:hAnsi="宋体" w:eastAsia="宋体" w:cs="宋体"/>
        <w:sz w:val="14"/>
        <w:szCs w:val="14"/>
      </w:rPr>
    </w:pPr>
    <w:r>
      <w:rPr>
        <w:sz w:val="1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3"/>
      <w:rPr>
        <w:rFonts w:ascii="宋体" w:hAnsi="宋体" w:eastAsia="宋体" w:cs="宋体"/>
        <w:sz w:val="14"/>
        <w:szCs w:val="14"/>
      </w:rPr>
    </w:pPr>
    <w:r>
      <w:rPr>
        <w:sz w:val="1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141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53"/>
      <w:rPr>
        <w:rFonts w:ascii="宋体" w:hAnsi="宋体" w:eastAsia="宋体" w:cs="宋体"/>
        <w:sz w:val="14"/>
        <w:szCs w:val="14"/>
      </w:rPr>
    </w:pPr>
    <w:r>
      <w:rPr>
        <w:sz w:val="1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3"/>
      <w:rPr>
        <w:rFonts w:ascii="宋体" w:hAnsi="宋体" w:eastAsia="宋体" w:cs="宋体"/>
        <w:sz w:val="14"/>
        <w:szCs w:val="14"/>
      </w:rPr>
    </w:pPr>
    <w:r>
      <w:rPr>
        <w:sz w:val="1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3"/>
      <w:rPr>
        <w:rFonts w:ascii="宋体" w:hAnsi="宋体" w:eastAsia="宋体" w:cs="宋体"/>
        <w:sz w:val="14"/>
        <w:szCs w:val="14"/>
      </w:rPr>
    </w:pPr>
    <w:r>
      <w:rPr>
        <w:sz w:val="1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53"/>
      <w:rPr>
        <w:rFonts w:ascii="宋体" w:hAnsi="宋体" w:eastAsia="宋体" w:cs="宋体"/>
        <w:sz w:val="14"/>
        <w:szCs w:val="14"/>
      </w:rPr>
    </w:pPr>
    <w:r>
      <w:rPr>
        <w:sz w:val="1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3"/>
      <w:rPr>
        <w:rFonts w:ascii="宋体" w:hAnsi="宋体" w:eastAsia="宋体" w:cs="宋体"/>
        <w:sz w:val="14"/>
        <w:szCs w:val="14"/>
      </w:rPr>
    </w:pPr>
    <w:r>
      <w:rPr>
        <w:sz w:val="1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43"/>
      <w:rPr>
        <w:rFonts w:ascii="宋体" w:hAnsi="宋体" w:eastAsia="宋体" w:cs="宋体"/>
        <w:sz w:val="14"/>
        <w:szCs w:val="14"/>
      </w:rPr>
    </w:pPr>
    <w:r>
      <w:rPr>
        <w:sz w:val="1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宋体" w:hAnsi="宋体" w:cs="宋体"/>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margin">
                <wp:posOffset>6072505</wp:posOffset>
              </wp:positionH>
              <wp:positionV relativeFrom="paragraph">
                <wp:posOffset>9525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left:478.15pt;margin-top:0.75pt;height:144pt;width:144pt;mso-position-horizontal-relative:margin;mso-wrap-style:none;z-index:251662336;mso-width-relative:page;mso-height-relative:page;" filled="f" stroked="f" coordsize="21600,21600" o:gfxdata="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VFlrtYAAAAKAQAADwAAAAAAAAABACAAAAAiAAAAZHJzL2Rvd25yZXYueG1s&#10;UEsBAhQAFAAAAAgAh07iQD9vyIrBAQAAjwMAAA4AAAAAAAAAAQAgAAAAJQEAAGRycy9lMm9Eb2Mu&#10;eG1sUEsFBgAAAAAGAAYAWQEAAFgFAAAAAA==&#10;">
              <v:fill on="f" focussize="0,0"/>
              <v:stroke on="f"/>
              <v:imagedata o:title=""/>
              <o:lock v:ext="edit" aspectratio="f"/>
              <v:textbox inset="0mm,0mm,0mm,0mm" style="mso-fit-shape-to-text:t;">
                <w:txbxContent>
                  <w:p/>
                </w:txbxContent>
              </v:textbox>
            </v:shape>
          </w:pict>
        </mc:Fallback>
      </mc:AlternateContent>
    </w: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Style w:val="39"/>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pPr>
                      <w:pStyle w:val="23"/>
                      <w:rPr>
                        <w:rStyle w:val="39"/>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239"/>
      <w:rPr>
        <w:rFonts w:ascii="宋体" w:hAnsi="宋体" w:eastAsia="宋体" w:cs="宋体"/>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59"/>
      <w:rPr>
        <w:rFonts w:ascii="宋体" w:hAnsi="宋体" w:eastAsia="宋体" w:cs="宋体"/>
        <w:sz w:val="14"/>
        <w:szCs w:val="14"/>
      </w:rPr>
    </w:pPr>
    <w:r>
      <w:rPr>
        <w:sz w:val="1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484"/>
      <w:rPr>
        <w:rFonts w:ascii="宋体" w:hAnsi="宋体" w:eastAsia="宋体" w:cs="宋体"/>
        <w:sz w:val="14"/>
        <w:szCs w:val="14"/>
      </w:rPr>
    </w:pPr>
    <w:r>
      <w:rPr>
        <w:sz w:val="1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269"/>
      <w:rPr>
        <w:rFonts w:ascii="宋体" w:hAnsi="宋体" w:eastAsia="宋体" w:cs="宋体"/>
        <w:sz w:val="15"/>
        <w:szCs w:val="15"/>
      </w:rPr>
    </w:pPr>
    <w:r>
      <w:rPr>
        <w:sz w:val="15"/>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69"/>
      <w:rPr>
        <w:rFonts w:ascii="宋体" w:hAnsi="宋体" w:eastAsia="宋体" w:cs="宋体"/>
        <w:sz w:val="14"/>
        <w:szCs w:val="14"/>
      </w:rPr>
    </w:pPr>
    <w:r>
      <w:rPr>
        <w:sz w:val="1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A6DF6"/>
    <w:multiLevelType w:val="singleLevel"/>
    <w:tmpl w:val="9AFA6DF6"/>
    <w:lvl w:ilvl="0" w:tentative="0">
      <w:start w:val="3"/>
      <w:numFmt w:val="chineseCounting"/>
      <w:suff w:val="space"/>
      <w:lvlText w:val="第%1章"/>
      <w:lvlJc w:val="left"/>
      <w:rPr>
        <w:rFonts w:hint="eastAsia"/>
      </w:rPr>
    </w:lvl>
  </w:abstractNum>
  <w:abstractNum w:abstractNumId="1">
    <w:nsid w:val="EBD5AE6E"/>
    <w:multiLevelType w:val="singleLevel"/>
    <w:tmpl w:val="EBD5AE6E"/>
    <w:lvl w:ilvl="0" w:tentative="0">
      <w:start w:val="1"/>
      <w:numFmt w:val="chineseCounting"/>
      <w:suff w:val="nothing"/>
      <w:lvlText w:val="（%1）"/>
      <w:lvlJc w:val="left"/>
      <w:rPr>
        <w:rFonts w:hint="eastAsia"/>
      </w:rPr>
    </w:lvl>
  </w:abstractNum>
  <w:abstractNum w:abstractNumId="2">
    <w:nsid w:val="458421B4"/>
    <w:multiLevelType w:val="singleLevel"/>
    <w:tmpl w:val="458421B4"/>
    <w:lvl w:ilvl="0" w:tentative="0">
      <w:start w:val="10"/>
      <w:numFmt w:val="chineseCounting"/>
      <w:suff w:val="space"/>
      <w:lvlText w:val="%1、"/>
      <w:lvlJc w:val="left"/>
      <w:rPr>
        <w:rFonts w:hint="eastAsia"/>
      </w:rPr>
    </w:lvl>
  </w:abstractNum>
  <w:abstractNum w:abstractNumId="3">
    <w:nsid w:val="5913F5F6"/>
    <w:multiLevelType w:val="multilevel"/>
    <w:tmpl w:val="5913F5F6"/>
    <w:lvl w:ilvl="0" w:tentative="0">
      <w:start w:val="1"/>
      <w:numFmt w:val="decimal"/>
      <w:lvlText w:val="%1."/>
      <w:lvlJc w:val="left"/>
      <w:pPr>
        <w:tabs>
          <w:tab w:val="left" w:pos="425"/>
        </w:tabs>
        <w:ind w:left="425" w:hanging="425"/>
      </w:pPr>
      <w:rPr>
        <w:rFonts w:hint="default" w:cs="Times New Roman"/>
        <w:b/>
        <w:i w:val="0"/>
      </w:rPr>
    </w:lvl>
    <w:lvl w:ilvl="1" w:tentative="0">
      <w:start w:val="1"/>
      <w:numFmt w:val="decimal"/>
      <w:lvlText w:val="4.%2."/>
      <w:lvlJc w:val="left"/>
      <w:pPr>
        <w:tabs>
          <w:tab w:val="left" w:pos="170"/>
        </w:tabs>
        <w:ind w:left="170" w:hanging="170"/>
      </w:pPr>
      <w:rPr>
        <w:rFonts w:hint="eastAsia" w:cs="Times New Roman"/>
        <w:sz w:val="21"/>
        <w:szCs w:val="21"/>
      </w:rPr>
    </w:lvl>
    <w:lvl w:ilvl="2" w:tentative="0">
      <w:start w:val="1"/>
      <w:numFmt w:val="decimal"/>
      <w:pStyle w:val="63"/>
      <w:lvlText w:val="4.1.%3."/>
      <w:lvlJc w:val="left"/>
      <w:pPr>
        <w:tabs>
          <w:tab w:val="left" w:pos="170"/>
        </w:tabs>
        <w:ind w:left="170" w:hanging="170"/>
      </w:pPr>
      <w:rPr>
        <w:rFonts w:hint="eastAsia" w:cs="Times New Roman"/>
      </w:rPr>
    </w:lvl>
    <w:lvl w:ilvl="3" w:tentative="0">
      <w:start w:val="1"/>
      <w:numFmt w:val="decimal"/>
      <w:lvlText w:val="%1.%2.%3.%4."/>
      <w:lvlJc w:val="left"/>
      <w:pPr>
        <w:tabs>
          <w:tab w:val="left" w:pos="510"/>
        </w:tabs>
        <w:ind w:left="510" w:hanging="170"/>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iZDQ3YWE3M2RjMDhmOTA1ZWU4OGNiYWVlMmE5YmIifQ=="/>
  </w:docVars>
  <w:rsids>
    <w:rsidRoot w:val="00A77B3E"/>
    <w:rsid w:val="00007CAF"/>
    <w:rsid w:val="0001209E"/>
    <w:rsid w:val="00017829"/>
    <w:rsid w:val="00024D28"/>
    <w:rsid w:val="0004002A"/>
    <w:rsid w:val="00053895"/>
    <w:rsid w:val="0007003E"/>
    <w:rsid w:val="0007421A"/>
    <w:rsid w:val="000875E2"/>
    <w:rsid w:val="000A02F1"/>
    <w:rsid w:val="000A3A31"/>
    <w:rsid w:val="000A5BA8"/>
    <w:rsid w:val="000C245F"/>
    <w:rsid w:val="000C7BF8"/>
    <w:rsid w:val="000E2489"/>
    <w:rsid w:val="000F3902"/>
    <w:rsid w:val="0010016D"/>
    <w:rsid w:val="00102275"/>
    <w:rsid w:val="001024EF"/>
    <w:rsid w:val="0011032E"/>
    <w:rsid w:val="0011655B"/>
    <w:rsid w:val="00116D83"/>
    <w:rsid w:val="0012348A"/>
    <w:rsid w:val="00123B31"/>
    <w:rsid w:val="00134FED"/>
    <w:rsid w:val="00144561"/>
    <w:rsid w:val="00155B26"/>
    <w:rsid w:val="001602C9"/>
    <w:rsid w:val="00161986"/>
    <w:rsid w:val="00164A34"/>
    <w:rsid w:val="0018146C"/>
    <w:rsid w:val="001B003C"/>
    <w:rsid w:val="001B3BEA"/>
    <w:rsid w:val="001D7436"/>
    <w:rsid w:val="001F1D2C"/>
    <w:rsid w:val="00201B5B"/>
    <w:rsid w:val="00212E4D"/>
    <w:rsid w:val="002201A4"/>
    <w:rsid w:val="00222F83"/>
    <w:rsid w:val="002252FE"/>
    <w:rsid w:val="00231979"/>
    <w:rsid w:val="00233BD3"/>
    <w:rsid w:val="00235B52"/>
    <w:rsid w:val="00245515"/>
    <w:rsid w:val="00264848"/>
    <w:rsid w:val="00265F7D"/>
    <w:rsid w:val="00273C57"/>
    <w:rsid w:val="00276858"/>
    <w:rsid w:val="0029525E"/>
    <w:rsid w:val="002B12C4"/>
    <w:rsid w:val="002B4C13"/>
    <w:rsid w:val="002B509F"/>
    <w:rsid w:val="002B5F47"/>
    <w:rsid w:val="002D553C"/>
    <w:rsid w:val="002F0637"/>
    <w:rsid w:val="00303F39"/>
    <w:rsid w:val="00326CEF"/>
    <w:rsid w:val="0033195D"/>
    <w:rsid w:val="00364E20"/>
    <w:rsid w:val="00371609"/>
    <w:rsid w:val="003761E8"/>
    <w:rsid w:val="00395145"/>
    <w:rsid w:val="003A0CBE"/>
    <w:rsid w:val="003A1BAB"/>
    <w:rsid w:val="003A2FA6"/>
    <w:rsid w:val="003C5DE2"/>
    <w:rsid w:val="003E290B"/>
    <w:rsid w:val="003F1B64"/>
    <w:rsid w:val="004014EB"/>
    <w:rsid w:val="0040203E"/>
    <w:rsid w:val="00404843"/>
    <w:rsid w:val="004050DB"/>
    <w:rsid w:val="004055CD"/>
    <w:rsid w:val="00411F92"/>
    <w:rsid w:val="0041503F"/>
    <w:rsid w:val="004276B0"/>
    <w:rsid w:val="00443864"/>
    <w:rsid w:val="00461516"/>
    <w:rsid w:val="00462818"/>
    <w:rsid w:val="00462BBA"/>
    <w:rsid w:val="004650F1"/>
    <w:rsid w:val="00466D86"/>
    <w:rsid w:val="00473047"/>
    <w:rsid w:val="004755BD"/>
    <w:rsid w:val="004768BF"/>
    <w:rsid w:val="004A3CD6"/>
    <w:rsid w:val="004A7D1C"/>
    <w:rsid w:val="004D5104"/>
    <w:rsid w:val="004D59C4"/>
    <w:rsid w:val="004D6BFF"/>
    <w:rsid w:val="004E5434"/>
    <w:rsid w:val="004F32E9"/>
    <w:rsid w:val="005053E1"/>
    <w:rsid w:val="00512D10"/>
    <w:rsid w:val="00543BC3"/>
    <w:rsid w:val="00557BFD"/>
    <w:rsid w:val="00557D70"/>
    <w:rsid w:val="0056585B"/>
    <w:rsid w:val="00581E89"/>
    <w:rsid w:val="00592DCA"/>
    <w:rsid w:val="005A1634"/>
    <w:rsid w:val="005A3B33"/>
    <w:rsid w:val="005A4786"/>
    <w:rsid w:val="005F17C4"/>
    <w:rsid w:val="00613DDE"/>
    <w:rsid w:val="006331CC"/>
    <w:rsid w:val="006456DE"/>
    <w:rsid w:val="00645F51"/>
    <w:rsid w:val="00653C88"/>
    <w:rsid w:val="0066544D"/>
    <w:rsid w:val="006718D4"/>
    <w:rsid w:val="006B6A0F"/>
    <w:rsid w:val="006E340F"/>
    <w:rsid w:val="006E59F5"/>
    <w:rsid w:val="006F7FC2"/>
    <w:rsid w:val="0072393D"/>
    <w:rsid w:val="0072414B"/>
    <w:rsid w:val="00732835"/>
    <w:rsid w:val="00743606"/>
    <w:rsid w:val="00751FAB"/>
    <w:rsid w:val="00754A62"/>
    <w:rsid w:val="00754B28"/>
    <w:rsid w:val="007561C4"/>
    <w:rsid w:val="00770368"/>
    <w:rsid w:val="007821C8"/>
    <w:rsid w:val="00787188"/>
    <w:rsid w:val="007B079A"/>
    <w:rsid w:val="007B5AA2"/>
    <w:rsid w:val="007C2297"/>
    <w:rsid w:val="007C5954"/>
    <w:rsid w:val="007D540B"/>
    <w:rsid w:val="007E0777"/>
    <w:rsid w:val="007E353E"/>
    <w:rsid w:val="007E5D89"/>
    <w:rsid w:val="007E6BB5"/>
    <w:rsid w:val="007E7386"/>
    <w:rsid w:val="00810AF4"/>
    <w:rsid w:val="00814C81"/>
    <w:rsid w:val="00814D9F"/>
    <w:rsid w:val="00823BDE"/>
    <w:rsid w:val="00830A60"/>
    <w:rsid w:val="008420AD"/>
    <w:rsid w:val="00852179"/>
    <w:rsid w:val="00853170"/>
    <w:rsid w:val="00891F1A"/>
    <w:rsid w:val="008A28C9"/>
    <w:rsid w:val="008A4A3D"/>
    <w:rsid w:val="008C0562"/>
    <w:rsid w:val="008C2AD9"/>
    <w:rsid w:val="008D65F8"/>
    <w:rsid w:val="008D677A"/>
    <w:rsid w:val="008E02EA"/>
    <w:rsid w:val="008E520B"/>
    <w:rsid w:val="008E5790"/>
    <w:rsid w:val="009021DD"/>
    <w:rsid w:val="00925486"/>
    <w:rsid w:val="00933F47"/>
    <w:rsid w:val="009369F7"/>
    <w:rsid w:val="00955407"/>
    <w:rsid w:val="00957E11"/>
    <w:rsid w:val="00964F86"/>
    <w:rsid w:val="009661A7"/>
    <w:rsid w:val="00981D89"/>
    <w:rsid w:val="00982BAD"/>
    <w:rsid w:val="009864EC"/>
    <w:rsid w:val="009871C0"/>
    <w:rsid w:val="00991626"/>
    <w:rsid w:val="00995645"/>
    <w:rsid w:val="00A140E1"/>
    <w:rsid w:val="00A279D1"/>
    <w:rsid w:val="00A319B2"/>
    <w:rsid w:val="00A42C70"/>
    <w:rsid w:val="00A44371"/>
    <w:rsid w:val="00A612EB"/>
    <w:rsid w:val="00A70F84"/>
    <w:rsid w:val="00A77B3E"/>
    <w:rsid w:val="00A97697"/>
    <w:rsid w:val="00AB595D"/>
    <w:rsid w:val="00AC5EC0"/>
    <w:rsid w:val="00AD6500"/>
    <w:rsid w:val="00B22B40"/>
    <w:rsid w:val="00B35EAF"/>
    <w:rsid w:val="00B41CA2"/>
    <w:rsid w:val="00B43BE8"/>
    <w:rsid w:val="00B442BF"/>
    <w:rsid w:val="00B56762"/>
    <w:rsid w:val="00B652E1"/>
    <w:rsid w:val="00B67FA0"/>
    <w:rsid w:val="00BA2140"/>
    <w:rsid w:val="00BC44F2"/>
    <w:rsid w:val="00BC48F0"/>
    <w:rsid w:val="00BC6045"/>
    <w:rsid w:val="00BD11AA"/>
    <w:rsid w:val="00BD1F20"/>
    <w:rsid w:val="00C17395"/>
    <w:rsid w:val="00C2203A"/>
    <w:rsid w:val="00C267CA"/>
    <w:rsid w:val="00C43685"/>
    <w:rsid w:val="00C87F67"/>
    <w:rsid w:val="00C9729F"/>
    <w:rsid w:val="00CA1A41"/>
    <w:rsid w:val="00CA2A55"/>
    <w:rsid w:val="00CA2CC4"/>
    <w:rsid w:val="00CC1156"/>
    <w:rsid w:val="00CC691F"/>
    <w:rsid w:val="00CE02D4"/>
    <w:rsid w:val="00CF3083"/>
    <w:rsid w:val="00D016F7"/>
    <w:rsid w:val="00D05B04"/>
    <w:rsid w:val="00D06E76"/>
    <w:rsid w:val="00D15393"/>
    <w:rsid w:val="00D2381A"/>
    <w:rsid w:val="00D23F35"/>
    <w:rsid w:val="00D409ED"/>
    <w:rsid w:val="00D571F6"/>
    <w:rsid w:val="00D6210C"/>
    <w:rsid w:val="00D653B4"/>
    <w:rsid w:val="00D66D5C"/>
    <w:rsid w:val="00D72A9C"/>
    <w:rsid w:val="00D72F09"/>
    <w:rsid w:val="00D7496F"/>
    <w:rsid w:val="00D74B70"/>
    <w:rsid w:val="00D832D1"/>
    <w:rsid w:val="00D858D6"/>
    <w:rsid w:val="00D95134"/>
    <w:rsid w:val="00DC35D1"/>
    <w:rsid w:val="00DC4168"/>
    <w:rsid w:val="00DC4657"/>
    <w:rsid w:val="00DC67A6"/>
    <w:rsid w:val="00DD0151"/>
    <w:rsid w:val="00DD7ED8"/>
    <w:rsid w:val="00DF2ACB"/>
    <w:rsid w:val="00DF327C"/>
    <w:rsid w:val="00E006E9"/>
    <w:rsid w:val="00E1777F"/>
    <w:rsid w:val="00E2359F"/>
    <w:rsid w:val="00E277F2"/>
    <w:rsid w:val="00E318C4"/>
    <w:rsid w:val="00E32309"/>
    <w:rsid w:val="00E5182F"/>
    <w:rsid w:val="00E55875"/>
    <w:rsid w:val="00E616F7"/>
    <w:rsid w:val="00E825CF"/>
    <w:rsid w:val="00E82A63"/>
    <w:rsid w:val="00E83C4A"/>
    <w:rsid w:val="00E920AC"/>
    <w:rsid w:val="00EA0D9C"/>
    <w:rsid w:val="00EC36F6"/>
    <w:rsid w:val="00EC599F"/>
    <w:rsid w:val="00ED2006"/>
    <w:rsid w:val="00ED2050"/>
    <w:rsid w:val="00ED6EAC"/>
    <w:rsid w:val="00EE34DD"/>
    <w:rsid w:val="00EF3F6A"/>
    <w:rsid w:val="00F27DDA"/>
    <w:rsid w:val="00F4023F"/>
    <w:rsid w:val="00F5633A"/>
    <w:rsid w:val="00F90C79"/>
    <w:rsid w:val="00FB378A"/>
    <w:rsid w:val="00FC64DF"/>
    <w:rsid w:val="00FD0E9B"/>
    <w:rsid w:val="00FE1ABF"/>
    <w:rsid w:val="00FF5D0D"/>
    <w:rsid w:val="00FF6FA0"/>
    <w:rsid w:val="01352B10"/>
    <w:rsid w:val="015123B9"/>
    <w:rsid w:val="016E5B51"/>
    <w:rsid w:val="017E203C"/>
    <w:rsid w:val="019B3634"/>
    <w:rsid w:val="01A81252"/>
    <w:rsid w:val="01A949D5"/>
    <w:rsid w:val="01D3213A"/>
    <w:rsid w:val="023B24A4"/>
    <w:rsid w:val="024A0BB7"/>
    <w:rsid w:val="02624152"/>
    <w:rsid w:val="028A4626"/>
    <w:rsid w:val="02A227A1"/>
    <w:rsid w:val="02BF068B"/>
    <w:rsid w:val="031A3CFB"/>
    <w:rsid w:val="034A70C0"/>
    <w:rsid w:val="03710FFD"/>
    <w:rsid w:val="038926F5"/>
    <w:rsid w:val="03BA45A7"/>
    <w:rsid w:val="04114C57"/>
    <w:rsid w:val="04294BED"/>
    <w:rsid w:val="0451287C"/>
    <w:rsid w:val="047D34C5"/>
    <w:rsid w:val="049524EB"/>
    <w:rsid w:val="04AB17C9"/>
    <w:rsid w:val="04B6189F"/>
    <w:rsid w:val="04E05B36"/>
    <w:rsid w:val="052B0B96"/>
    <w:rsid w:val="055E50A5"/>
    <w:rsid w:val="0588243D"/>
    <w:rsid w:val="0588359B"/>
    <w:rsid w:val="05921DDD"/>
    <w:rsid w:val="059960DD"/>
    <w:rsid w:val="05B90055"/>
    <w:rsid w:val="05DD2275"/>
    <w:rsid w:val="05E61F83"/>
    <w:rsid w:val="06184AC0"/>
    <w:rsid w:val="064C314F"/>
    <w:rsid w:val="065E1798"/>
    <w:rsid w:val="06C56459"/>
    <w:rsid w:val="06E178E3"/>
    <w:rsid w:val="071C6FC5"/>
    <w:rsid w:val="079C25A5"/>
    <w:rsid w:val="079E5B2A"/>
    <w:rsid w:val="07A9564E"/>
    <w:rsid w:val="07AF3996"/>
    <w:rsid w:val="07AF7E3A"/>
    <w:rsid w:val="08423791"/>
    <w:rsid w:val="086E603D"/>
    <w:rsid w:val="089B46E8"/>
    <w:rsid w:val="08C70003"/>
    <w:rsid w:val="08CA4DCB"/>
    <w:rsid w:val="08ED5B9B"/>
    <w:rsid w:val="091C4DD6"/>
    <w:rsid w:val="09490231"/>
    <w:rsid w:val="09573962"/>
    <w:rsid w:val="0977081A"/>
    <w:rsid w:val="09842C00"/>
    <w:rsid w:val="098F7F23"/>
    <w:rsid w:val="099472E7"/>
    <w:rsid w:val="09C33984"/>
    <w:rsid w:val="0A0B4439"/>
    <w:rsid w:val="0A0D238C"/>
    <w:rsid w:val="0A2D26EC"/>
    <w:rsid w:val="0A3463D4"/>
    <w:rsid w:val="0AAD13E0"/>
    <w:rsid w:val="0AE07DD4"/>
    <w:rsid w:val="0AE97BEF"/>
    <w:rsid w:val="0AF236BD"/>
    <w:rsid w:val="0B45181F"/>
    <w:rsid w:val="0B6651D6"/>
    <w:rsid w:val="0B731A1D"/>
    <w:rsid w:val="0B7A69B0"/>
    <w:rsid w:val="0B9A20F8"/>
    <w:rsid w:val="0BCD4D32"/>
    <w:rsid w:val="0C12645B"/>
    <w:rsid w:val="0C2C306F"/>
    <w:rsid w:val="0C321039"/>
    <w:rsid w:val="0C3C5C5D"/>
    <w:rsid w:val="0C606959"/>
    <w:rsid w:val="0CB120EC"/>
    <w:rsid w:val="0CC53C5B"/>
    <w:rsid w:val="0CE2741B"/>
    <w:rsid w:val="0CEF0A64"/>
    <w:rsid w:val="0D3A05F9"/>
    <w:rsid w:val="0D4C53D6"/>
    <w:rsid w:val="0D500B2D"/>
    <w:rsid w:val="0D951628"/>
    <w:rsid w:val="0DC022F5"/>
    <w:rsid w:val="0DE15978"/>
    <w:rsid w:val="0DEF2695"/>
    <w:rsid w:val="0DF2282E"/>
    <w:rsid w:val="0DF2562A"/>
    <w:rsid w:val="0E1B5C80"/>
    <w:rsid w:val="0E4F1A2E"/>
    <w:rsid w:val="0EA224A6"/>
    <w:rsid w:val="0EE42D82"/>
    <w:rsid w:val="0F0D5446"/>
    <w:rsid w:val="0F251188"/>
    <w:rsid w:val="0F26554C"/>
    <w:rsid w:val="0F3F5708"/>
    <w:rsid w:val="0F5578D0"/>
    <w:rsid w:val="0F625AE8"/>
    <w:rsid w:val="0F66165C"/>
    <w:rsid w:val="0F6725A6"/>
    <w:rsid w:val="0F89671A"/>
    <w:rsid w:val="0FA405E3"/>
    <w:rsid w:val="0FA45DAA"/>
    <w:rsid w:val="0FC87C92"/>
    <w:rsid w:val="0FE96CA8"/>
    <w:rsid w:val="0FF705D0"/>
    <w:rsid w:val="100637A3"/>
    <w:rsid w:val="104B4477"/>
    <w:rsid w:val="10960AC0"/>
    <w:rsid w:val="10BA5FE5"/>
    <w:rsid w:val="10E92507"/>
    <w:rsid w:val="11020127"/>
    <w:rsid w:val="11214E41"/>
    <w:rsid w:val="113459F4"/>
    <w:rsid w:val="11601256"/>
    <w:rsid w:val="11734152"/>
    <w:rsid w:val="11916B34"/>
    <w:rsid w:val="11F03528"/>
    <w:rsid w:val="12062D4C"/>
    <w:rsid w:val="121F656F"/>
    <w:rsid w:val="12631F4C"/>
    <w:rsid w:val="12696E37"/>
    <w:rsid w:val="128A592A"/>
    <w:rsid w:val="12BE53D5"/>
    <w:rsid w:val="13115AAF"/>
    <w:rsid w:val="13935C55"/>
    <w:rsid w:val="13BB1914"/>
    <w:rsid w:val="141253BC"/>
    <w:rsid w:val="14AC0EF9"/>
    <w:rsid w:val="14C82EFB"/>
    <w:rsid w:val="14D46A77"/>
    <w:rsid w:val="152753A1"/>
    <w:rsid w:val="15485429"/>
    <w:rsid w:val="15D5385E"/>
    <w:rsid w:val="15E117FA"/>
    <w:rsid w:val="15E97757"/>
    <w:rsid w:val="15F42DCA"/>
    <w:rsid w:val="161812A0"/>
    <w:rsid w:val="16331365"/>
    <w:rsid w:val="165C3CB2"/>
    <w:rsid w:val="167748C5"/>
    <w:rsid w:val="168E1562"/>
    <w:rsid w:val="16FD70D9"/>
    <w:rsid w:val="17005FBC"/>
    <w:rsid w:val="173C4698"/>
    <w:rsid w:val="17B9260F"/>
    <w:rsid w:val="1824217E"/>
    <w:rsid w:val="183A5D0E"/>
    <w:rsid w:val="183F0D66"/>
    <w:rsid w:val="184B1873"/>
    <w:rsid w:val="18C7778D"/>
    <w:rsid w:val="19481E9C"/>
    <w:rsid w:val="19655E3D"/>
    <w:rsid w:val="19747A66"/>
    <w:rsid w:val="198B6B24"/>
    <w:rsid w:val="19923117"/>
    <w:rsid w:val="19BF7536"/>
    <w:rsid w:val="19DC73D7"/>
    <w:rsid w:val="1A764D59"/>
    <w:rsid w:val="1AAB2F71"/>
    <w:rsid w:val="1AB64819"/>
    <w:rsid w:val="1AD205A1"/>
    <w:rsid w:val="1B416BA3"/>
    <w:rsid w:val="1B4F204A"/>
    <w:rsid w:val="1B70138E"/>
    <w:rsid w:val="1B8A32A4"/>
    <w:rsid w:val="1B8C79EA"/>
    <w:rsid w:val="1B9117F5"/>
    <w:rsid w:val="1B970EB9"/>
    <w:rsid w:val="1B9F6E76"/>
    <w:rsid w:val="1BBE4697"/>
    <w:rsid w:val="1BC670A8"/>
    <w:rsid w:val="1BCE7E5F"/>
    <w:rsid w:val="1BDA49C1"/>
    <w:rsid w:val="1BF35CE3"/>
    <w:rsid w:val="1BF61F9E"/>
    <w:rsid w:val="1C212B49"/>
    <w:rsid w:val="1C33461B"/>
    <w:rsid w:val="1C3F3F1A"/>
    <w:rsid w:val="1C6A2129"/>
    <w:rsid w:val="1C7D00AF"/>
    <w:rsid w:val="1CAC2742"/>
    <w:rsid w:val="1CB20FEE"/>
    <w:rsid w:val="1CD54918"/>
    <w:rsid w:val="1CEE7F48"/>
    <w:rsid w:val="1D140D36"/>
    <w:rsid w:val="1D152E0A"/>
    <w:rsid w:val="1D1C3424"/>
    <w:rsid w:val="1D3508A2"/>
    <w:rsid w:val="1D6923E1"/>
    <w:rsid w:val="1D84648C"/>
    <w:rsid w:val="1D862F93"/>
    <w:rsid w:val="1DC35F95"/>
    <w:rsid w:val="1E0255DB"/>
    <w:rsid w:val="1E146DF8"/>
    <w:rsid w:val="1E1672D0"/>
    <w:rsid w:val="1E285EBA"/>
    <w:rsid w:val="1E341228"/>
    <w:rsid w:val="1E5C62C3"/>
    <w:rsid w:val="1E731769"/>
    <w:rsid w:val="1EEB2955"/>
    <w:rsid w:val="1EF46D90"/>
    <w:rsid w:val="1F005C4D"/>
    <w:rsid w:val="1F130856"/>
    <w:rsid w:val="1F710D59"/>
    <w:rsid w:val="1F9600D1"/>
    <w:rsid w:val="1FCA1FDA"/>
    <w:rsid w:val="1FCE3322"/>
    <w:rsid w:val="1FD37B27"/>
    <w:rsid w:val="20312186"/>
    <w:rsid w:val="204F3B10"/>
    <w:rsid w:val="209E05F3"/>
    <w:rsid w:val="20A26336"/>
    <w:rsid w:val="20E06E5E"/>
    <w:rsid w:val="213056EF"/>
    <w:rsid w:val="213C44AC"/>
    <w:rsid w:val="21510014"/>
    <w:rsid w:val="215D5E4B"/>
    <w:rsid w:val="22140B6D"/>
    <w:rsid w:val="221B46D0"/>
    <w:rsid w:val="221C2118"/>
    <w:rsid w:val="22516416"/>
    <w:rsid w:val="225C42C2"/>
    <w:rsid w:val="22AC1F65"/>
    <w:rsid w:val="22C51836"/>
    <w:rsid w:val="23215B1D"/>
    <w:rsid w:val="23345BD7"/>
    <w:rsid w:val="23403BE4"/>
    <w:rsid w:val="23635EB7"/>
    <w:rsid w:val="23867849"/>
    <w:rsid w:val="23AB3753"/>
    <w:rsid w:val="242222F3"/>
    <w:rsid w:val="244B45EE"/>
    <w:rsid w:val="247955FF"/>
    <w:rsid w:val="24826205"/>
    <w:rsid w:val="24AE6A99"/>
    <w:rsid w:val="24B31645"/>
    <w:rsid w:val="24EA2059"/>
    <w:rsid w:val="24EF141E"/>
    <w:rsid w:val="255802A1"/>
    <w:rsid w:val="255B6AB3"/>
    <w:rsid w:val="25641E0C"/>
    <w:rsid w:val="258C4EBE"/>
    <w:rsid w:val="258D0448"/>
    <w:rsid w:val="25916979"/>
    <w:rsid w:val="259756BC"/>
    <w:rsid w:val="25A014BB"/>
    <w:rsid w:val="26013AFE"/>
    <w:rsid w:val="26057D67"/>
    <w:rsid w:val="26286F92"/>
    <w:rsid w:val="262B30D0"/>
    <w:rsid w:val="264D0AF2"/>
    <w:rsid w:val="265E2CFF"/>
    <w:rsid w:val="266B0855"/>
    <w:rsid w:val="267A5D47"/>
    <w:rsid w:val="26EB042A"/>
    <w:rsid w:val="27314692"/>
    <w:rsid w:val="27600DE8"/>
    <w:rsid w:val="27A44FAB"/>
    <w:rsid w:val="27CF4D72"/>
    <w:rsid w:val="27E40FE2"/>
    <w:rsid w:val="280964E7"/>
    <w:rsid w:val="283110C3"/>
    <w:rsid w:val="28E86E2C"/>
    <w:rsid w:val="28F96D0F"/>
    <w:rsid w:val="28FA0F01"/>
    <w:rsid w:val="29053906"/>
    <w:rsid w:val="290E57D6"/>
    <w:rsid w:val="294855A0"/>
    <w:rsid w:val="29C25353"/>
    <w:rsid w:val="29CA71BB"/>
    <w:rsid w:val="2A1232AE"/>
    <w:rsid w:val="2A1D6A2D"/>
    <w:rsid w:val="2A30769D"/>
    <w:rsid w:val="2A374D74"/>
    <w:rsid w:val="2A4825B2"/>
    <w:rsid w:val="2AA44A58"/>
    <w:rsid w:val="2B0B2D29"/>
    <w:rsid w:val="2B737A28"/>
    <w:rsid w:val="2BA80578"/>
    <w:rsid w:val="2BAE2B17"/>
    <w:rsid w:val="2BE315B0"/>
    <w:rsid w:val="2BEA2C92"/>
    <w:rsid w:val="2C3167C0"/>
    <w:rsid w:val="2C6553B7"/>
    <w:rsid w:val="2CC43B79"/>
    <w:rsid w:val="2CDD08A6"/>
    <w:rsid w:val="2D186C93"/>
    <w:rsid w:val="2D695B2E"/>
    <w:rsid w:val="2D870D8D"/>
    <w:rsid w:val="2D874C02"/>
    <w:rsid w:val="2D8A4B43"/>
    <w:rsid w:val="2DCF44E2"/>
    <w:rsid w:val="2DEC1544"/>
    <w:rsid w:val="2E0A46E7"/>
    <w:rsid w:val="2E1168A9"/>
    <w:rsid w:val="2E2B796A"/>
    <w:rsid w:val="2E6E4307"/>
    <w:rsid w:val="2E734E6D"/>
    <w:rsid w:val="2EE603B7"/>
    <w:rsid w:val="2F0662B8"/>
    <w:rsid w:val="2F3D7B25"/>
    <w:rsid w:val="2F4660B3"/>
    <w:rsid w:val="2F700BF5"/>
    <w:rsid w:val="2F923A19"/>
    <w:rsid w:val="2FB2501E"/>
    <w:rsid w:val="2FCA4873"/>
    <w:rsid w:val="2FDE2FB7"/>
    <w:rsid w:val="30894E1C"/>
    <w:rsid w:val="30E31919"/>
    <w:rsid w:val="30F272DE"/>
    <w:rsid w:val="30FE1366"/>
    <w:rsid w:val="31480833"/>
    <w:rsid w:val="31A65308"/>
    <w:rsid w:val="31B163D9"/>
    <w:rsid w:val="31E866CA"/>
    <w:rsid w:val="322412F9"/>
    <w:rsid w:val="325326C2"/>
    <w:rsid w:val="32763472"/>
    <w:rsid w:val="32A0405F"/>
    <w:rsid w:val="32A13478"/>
    <w:rsid w:val="32A509BB"/>
    <w:rsid w:val="32AC3213"/>
    <w:rsid w:val="32EC6C98"/>
    <w:rsid w:val="32F551B5"/>
    <w:rsid w:val="335E37E4"/>
    <w:rsid w:val="338536E9"/>
    <w:rsid w:val="339B5E39"/>
    <w:rsid w:val="33DD5526"/>
    <w:rsid w:val="33F20F2A"/>
    <w:rsid w:val="34077B8A"/>
    <w:rsid w:val="344A5BE3"/>
    <w:rsid w:val="347755DE"/>
    <w:rsid w:val="34C74D5B"/>
    <w:rsid w:val="34D77B32"/>
    <w:rsid w:val="353776AC"/>
    <w:rsid w:val="35417A73"/>
    <w:rsid w:val="354B7BFF"/>
    <w:rsid w:val="35B9400B"/>
    <w:rsid w:val="35BA1FAE"/>
    <w:rsid w:val="35FB40C6"/>
    <w:rsid w:val="36002802"/>
    <w:rsid w:val="36366012"/>
    <w:rsid w:val="3656754F"/>
    <w:rsid w:val="365732C7"/>
    <w:rsid w:val="36B349A1"/>
    <w:rsid w:val="36F13BA6"/>
    <w:rsid w:val="37123AB7"/>
    <w:rsid w:val="373425FE"/>
    <w:rsid w:val="376F7D83"/>
    <w:rsid w:val="37A82027"/>
    <w:rsid w:val="37BD74BB"/>
    <w:rsid w:val="37CF2265"/>
    <w:rsid w:val="37D7646D"/>
    <w:rsid w:val="37EC56E4"/>
    <w:rsid w:val="37EF55BD"/>
    <w:rsid w:val="380A723F"/>
    <w:rsid w:val="38163767"/>
    <w:rsid w:val="38260235"/>
    <w:rsid w:val="383700EE"/>
    <w:rsid w:val="386E2DF5"/>
    <w:rsid w:val="38762B06"/>
    <w:rsid w:val="38A8605B"/>
    <w:rsid w:val="38EE31FE"/>
    <w:rsid w:val="38EF77E6"/>
    <w:rsid w:val="38F8669B"/>
    <w:rsid w:val="390D00A9"/>
    <w:rsid w:val="394418E0"/>
    <w:rsid w:val="39514D36"/>
    <w:rsid w:val="396C11D4"/>
    <w:rsid w:val="39B70E8C"/>
    <w:rsid w:val="39DC42D4"/>
    <w:rsid w:val="3A173499"/>
    <w:rsid w:val="3A1D6983"/>
    <w:rsid w:val="3A585058"/>
    <w:rsid w:val="3A722916"/>
    <w:rsid w:val="3A9F7E02"/>
    <w:rsid w:val="3ABF73E0"/>
    <w:rsid w:val="3AFE33D1"/>
    <w:rsid w:val="3B0633B9"/>
    <w:rsid w:val="3B3631B5"/>
    <w:rsid w:val="3B424545"/>
    <w:rsid w:val="3B4F41B5"/>
    <w:rsid w:val="3B7967A8"/>
    <w:rsid w:val="3B844B5E"/>
    <w:rsid w:val="3BA26D92"/>
    <w:rsid w:val="3BB95803"/>
    <w:rsid w:val="3BF06B27"/>
    <w:rsid w:val="3BF94661"/>
    <w:rsid w:val="3C5856E7"/>
    <w:rsid w:val="3CAC4A2A"/>
    <w:rsid w:val="3D175178"/>
    <w:rsid w:val="3D2726FD"/>
    <w:rsid w:val="3D344362"/>
    <w:rsid w:val="3D3C3740"/>
    <w:rsid w:val="3DA4074B"/>
    <w:rsid w:val="3DB039E8"/>
    <w:rsid w:val="3DDF607B"/>
    <w:rsid w:val="3E072D9B"/>
    <w:rsid w:val="3E4F6D06"/>
    <w:rsid w:val="3E886684"/>
    <w:rsid w:val="3E890E56"/>
    <w:rsid w:val="3E8E3281"/>
    <w:rsid w:val="3EA846BF"/>
    <w:rsid w:val="3EC0523E"/>
    <w:rsid w:val="3F086863"/>
    <w:rsid w:val="3F333523"/>
    <w:rsid w:val="3F406FEE"/>
    <w:rsid w:val="3F9078A4"/>
    <w:rsid w:val="3FA518B4"/>
    <w:rsid w:val="3FA56745"/>
    <w:rsid w:val="3FAA19B2"/>
    <w:rsid w:val="3FB17ADD"/>
    <w:rsid w:val="3FC76A46"/>
    <w:rsid w:val="402204A1"/>
    <w:rsid w:val="402C1320"/>
    <w:rsid w:val="40342C1C"/>
    <w:rsid w:val="404566DD"/>
    <w:rsid w:val="408E3D89"/>
    <w:rsid w:val="40AE1003"/>
    <w:rsid w:val="40BE3CAA"/>
    <w:rsid w:val="40F0234E"/>
    <w:rsid w:val="41286386"/>
    <w:rsid w:val="4145569A"/>
    <w:rsid w:val="41487636"/>
    <w:rsid w:val="41D57999"/>
    <w:rsid w:val="421F738E"/>
    <w:rsid w:val="425A7894"/>
    <w:rsid w:val="426E3E72"/>
    <w:rsid w:val="427F7E2D"/>
    <w:rsid w:val="42A142B5"/>
    <w:rsid w:val="42AC41EC"/>
    <w:rsid w:val="42E04BEC"/>
    <w:rsid w:val="43312868"/>
    <w:rsid w:val="433641E9"/>
    <w:rsid w:val="43D441A9"/>
    <w:rsid w:val="44356474"/>
    <w:rsid w:val="44380293"/>
    <w:rsid w:val="444035EC"/>
    <w:rsid w:val="444E1587"/>
    <w:rsid w:val="44554D83"/>
    <w:rsid w:val="44D74758"/>
    <w:rsid w:val="4510748F"/>
    <w:rsid w:val="45120858"/>
    <w:rsid w:val="456E40D4"/>
    <w:rsid w:val="458013B4"/>
    <w:rsid w:val="45AB2CE7"/>
    <w:rsid w:val="45E469DC"/>
    <w:rsid w:val="461940F5"/>
    <w:rsid w:val="46357180"/>
    <w:rsid w:val="464F6090"/>
    <w:rsid w:val="469E6DDA"/>
    <w:rsid w:val="46DB155B"/>
    <w:rsid w:val="4711212F"/>
    <w:rsid w:val="473F5F86"/>
    <w:rsid w:val="475F3D89"/>
    <w:rsid w:val="4764581D"/>
    <w:rsid w:val="47946929"/>
    <w:rsid w:val="47A76CEC"/>
    <w:rsid w:val="47C5711C"/>
    <w:rsid w:val="47D97FDF"/>
    <w:rsid w:val="47F047E6"/>
    <w:rsid w:val="485F2A48"/>
    <w:rsid w:val="48650273"/>
    <w:rsid w:val="487E6110"/>
    <w:rsid w:val="48970D75"/>
    <w:rsid w:val="48D2515B"/>
    <w:rsid w:val="48F21359"/>
    <w:rsid w:val="48F55C8F"/>
    <w:rsid w:val="48FB5D34"/>
    <w:rsid w:val="49235F35"/>
    <w:rsid w:val="493603AC"/>
    <w:rsid w:val="495277D8"/>
    <w:rsid w:val="49552599"/>
    <w:rsid w:val="49815FDD"/>
    <w:rsid w:val="49A87C69"/>
    <w:rsid w:val="4A27463C"/>
    <w:rsid w:val="4A3F63E1"/>
    <w:rsid w:val="4A742241"/>
    <w:rsid w:val="4A9401EE"/>
    <w:rsid w:val="4A9B157C"/>
    <w:rsid w:val="4AD60806"/>
    <w:rsid w:val="4AE564B8"/>
    <w:rsid w:val="4B3C1A3C"/>
    <w:rsid w:val="4B4300B7"/>
    <w:rsid w:val="4BC153BE"/>
    <w:rsid w:val="4BE10D1A"/>
    <w:rsid w:val="4BF835EC"/>
    <w:rsid w:val="4BFF5B3B"/>
    <w:rsid w:val="4C18452D"/>
    <w:rsid w:val="4C2D5AE1"/>
    <w:rsid w:val="4C392DFB"/>
    <w:rsid w:val="4C4A1A42"/>
    <w:rsid w:val="4C8670D9"/>
    <w:rsid w:val="4C9B3AB5"/>
    <w:rsid w:val="4CD55219"/>
    <w:rsid w:val="4CDA051A"/>
    <w:rsid w:val="4CDB6614"/>
    <w:rsid w:val="4CF4336D"/>
    <w:rsid w:val="4D151ABA"/>
    <w:rsid w:val="4D493511"/>
    <w:rsid w:val="4D4A6D9F"/>
    <w:rsid w:val="4D5573DD"/>
    <w:rsid w:val="4D8E0996"/>
    <w:rsid w:val="4D9C0680"/>
    <w:rsid w:val="4DDC37F9"/>
    <w:rsid w:val="4E08287B"/>
    <w:rsid w:val="4E0B6A5B"/>
    <w:rsid w:val="4E296E9F"/>
    <w:rsid w:val="4E77572F"/>
    <w:rsid w:val="4E817DC9"/>
    <w:rsid w:val="4EE05E69"/>
    <w:rsid w:val="4EEA322C"/>
    <w:rsid w:val="4F21772B"/>
    <w:rsid w:val="4F6208BA"/>
    <w:rsid w:val="4F79525E"/>
    <w:rsid w:val="4F9D7B44"/>
    <w:rsid w:val="4FB76E58"/>
    <w:rsid w:val="500048BD"/>
    <w:rsid w:val="501C6CBB"/>
    <w:rsid w:val="503D5E77"/>
    <w:rsid w:val="50447FC0"/>
    <w:rsid w:val="50593A6B"/>
    <w:rsid w:val="50803E73"/>
    <w:rsid w:val="50844312"/>
    <w:rsid w:val="508777F7"/>
    <w:rsid w:val="509A2314"/>
    <w:rsid w:val="50E01AF8"/>
    <w:rsid w:val="50E53204"/>
    <w:rsid w:val="50FB5F32"/>
    <w:rsid w:val="51273B6A"/>
    <w:rsid w:val="51DC5EFC"/>
    <w:rsid w:val="51F85506"/>
    <w:rsid w:val="51FA302C"/>
    <w:rsid w:val="520D51E4"/>
    <w:rsid w:val="521B775A"/>
    <w:rsid w:val="5247070E"/>
    <w:rsid w:val="52612F1E"/>
    <w:rsid w:val="52622141"/>
    <w:rsid w:val="52765707"/>
    <w:rsid w:val="5288301B"/>
    <w:rsid w:val="52AD5EA9"/>
    <w:rsid w:val="52D1766D"/>
    <w:rsid w:val="531E0F9C"/>
    <w:rsid w:val="537F5EDF"/>
    <w:rsid w:val="53E96AD1"/>
    <w:rsid w:val="542C6787"/>
    <w:rsid w:val="543C6104"/>
    <w:rsid w:val="54506547"/>
    <w:rsid w:val="54525C30"/>
    <w:rsid w:val="54893381"/>
    <w:rsid w:val="54A17015"/>
    <w:rsid w:val="54BE37B9"/>
    <w:rsid w:val="54D76797"/>
    <w:rsid w:val="54DA7145"/>
    <w:rsid w:val="54E12281"/>
    <w:rsid w:val="54F309BB"/>
    <w:rsid w:val="550348EE"/>
    <w:rsid w:val="55073BC6"/>
    <w:rsid w:val="551058A4"/>
    <w:rsid w:val="5555290C"/>
    <w:rsid w:val="556077FC"/>
    <w:rsid w:val="557D12D8"/>
    <w:rsid w:val="559612BE"/>
    <w:rsid w:val="55A25EB5"/>
    <w:rsid w:val="55EC1086"/>
    <w:rsid w:val="55FD133D"/>
    <w:rsid w:val="56037691"/>
    <w:rsid w:val="560561B0"/>
    <w:rsid w:val="561E3D65"/>
    <w:rsid w:val="56382375"/>
    <w:rsid w:val="56400737"/>
    <w:rsid w:val="568B06F7"/>
    <w:rsid w:val="56EE5E8C"/>
    <w:rsid w:val="56F75D8C"/>
    <w:rsid w:val="570109B9"/>
    <w:rsid w:val="570A3D11"/>
    <w:rsid w:val="575D2354"/>
    <w:rsid w:val="577613A7"/>
    <w:rsid w:val="57AC287A"/>
    <w:rsid w:val="57F86260"/>
    <w:rsid w:val="57FB7AFE"/>
    <w:rsid w:val="5855549C"/>
    <w:rsid w:val="585F62DF"/>
    <w:rsid w:val="58801DB1"/>
    <w:rsid w:val="58A23503"/>
    <w:rsid w:val="58B247DE"/>
    <w:rsid w:val="58C42A49"/>
    <w:rsid w:val="58C57CBA"/>
    <w:rsid w:val="58CB127E"/>
    <w:rsid w:val="58E448D9"/>
    <w:rsid w:val="59230F50"/>
    <w:rsid w:val="59670749"/>
    <w:rsid w:val="596969BE"/>
    <w:rsid w:val="596D6559"/>
    <w:rsid w:val="59785E19"/>
    <w:rsid w:val="59BE1ED8"/>
    <w:rsid w:val="59E72479"/>
    <w:rsid w:val="5A4F61C2"/>
    <w:rsid w:val="5A955FE8"/>
    <w:rsid w:val="5ABA0FE9"/>
    <w:rsid w:val="5AEC0EB4"/>
    <w:rsid w:val="5AF22E8D"/>
    <w:rsid w:val="5B1E7D8B"/>
    <w:rsid w:val="5B2F5419"/>
    <w:rsid w:val="5B3F4623"/>
    <w:rsid w:val="5B6F05E7"/>
    <w:rsid w:val="5BC05E26"/>
    <w:rsid w:val="5BE41287"/>
    <w:rsid w:val="5C2704D5"/>
    <w:rsid w:val="5C67569A"/>
    <w:rsid w:val="5CAE15E3"/>
    <w:rsid w:val="5CC04F2B"/>
    <w:rsid w:val="5CF8285E"/>
    <w:rsid w:val="5D0E67F3"/>
    <w:rsid w:val="5D276C9F"/>
    <w:rsid w:val="5D755C5D"/>
    <w:rsid w:val="5DC87B9C"/>
    <w:rsid w:val="5DF91FD2"/>
    <w:rsid w:val="5E1611EE"/>
    <w:rsid w:val="5E4C10B3"/>
    <w:rsid w:val="5E5D3EA2"/>
    <w:rsid w:val="5E6858A8"/>
    <w:rsid w:val="5E6A1724"/>
    <w:rsid w:val="5E7D6089"/>
    <w:rsid w:val="5EDD61AF"/>
    <w:rsid w:val="5EF930E2"/>
    <w:rsid w:val="5FAD6F2C"/>
    <w:rsid w:val="5FAF18FA"/>
    <w:rsid w:val="5FC177EE"/>
    <w:rsid w:val="5FD0361E"/>
    <w:rsid w:val="5FD1123D"/>
    <w:rsid w:val="5FF13CC0"/>
    <w:rsid w:val="602F346A"/>
    <w:rsid w:val="6065020A"/>
    <w:rsid w:val="606F2E37"/>
    <w:rsid w:val="60C5780A"/>
    <w:rsid w:val="60D10AF7"/>
    <w:rsid w:val="60D90D70"/>
    <w:rsid w:val="6110461A"/>
    <w:rsid w:val="611A35D0"/>
    <w:rsid w:val="61AD0DDF"/>
    <w:rsid w:val="61D03DA9"/>
    <w:rsid w:val="62063FBC"/>
    <w:rsid w:val="62774225"/>
    <w:rsid w:val="629454D9"/>
    <w:rsid w:val="62E02950"/>
    <w:rsid w:val="62F13785"/>
    <w:rsid w:val="635B1617"/>
    <w:rsid w:val="637F5A87"/>
    <w:rsid w:val="638041E9"/>
    <w:rsid w:val="63984B33"/>
    <w:rsid w:val="648B532D"/>
    <w:rsid w:val="650A3B2D"/>
    <w:rsid w:val="651363E4"/>
    <w:rsid w:val="65181CEF"/>
    <w:rsid w:val="65271F32"/>
    <w:rsid w:val="654C6FED"/>
    <w:rsid w:val="65586590"/>
    <w:rsid w:val="65693DFA"/>
    <w:rsid w:val="65815AE7"/>
    <w:rsid w:val="65841133"/>
    <w:rsid w:val="65932282"/>
    <w:rsid w:val="65CA0B4F"/>
    <w:rsid w:val="65D75707"/>
    <w:rsid w:val="65E87914"/>
    <w:rsid w:val="661F70AE"/>
    <w:rsid w:val="662F72F1"/>
    <w:rsid w:val="66414A0D"/>
    <w:rsid w:val="66794A10"/>
    <w:rsid w:val="66F74068"/>
    <w:rsid w:val="67014792"/>
    <w:rsid w:val="671012F9"/>
    <w:rsid w:val="67600A49"/>
    <w:rsid w:val="67816B8F"/>
    <w:rsid w:val="67867F10"/>
    <w:rsid w:val="679515B8"/>
    <w:rsid w:val="67AE693B"/>
    <w:rsid w:val="67BF2C1E"/>
    <w:rsid w:val="67C47F0C"/>
    <w:rsid w:val="686B2F4B"/>
    <w:rsid w:val="68C140D0"/>
    <w:rsid w:val="68D84206"/>
    <w:rsid w:val="693115D2"/>
    <w:rsid w:val="697648AC"/>
    <w:rsid w:val="69931944"/>
    <w:rsid w:val="69CF4947"/>
    <w:rsid w:val="6AD9782B"/>
    <w:rsid w:val="6ADE3206"/>
    <w:rsid w:val="6AF03AF8"/>
    <w:rsid w:val="6B54075B"/>
    <w:rsid w:val="6B6D2669"/>
    <w:rsid w:val="6B7617D7"/>
    <w:rsid w:val="6B7D0AFE"/>
    <w:rsid w:val="6C281CFE"/>
    <w:rsid w:val="6C3C2767"/>
    <w:rsid w:val="6C3D203B"/>
    <w:rsid w:val="6C643A6C"/>
    <w:rsid w:val="6C6C3770"/>
    <w:rsid w:val="6C7B1E2C"/>
    <w:rsid w:val="6CA072D6"/>
    <w:rsid w:val="6CAC554C"/>
    <w:rsid w:val="6CE21385"/>
    <w:rsid w:val="6CFD344E"/>
    <w:rsid w:val="6D7A5390"/>
    <w:rsid w:val="6D8A7502"/>
    <w:rsid w:val="6DA17A90"/>
    <w:rsid w:val="6DC87DB4"/>
    <w:rsid w:val="6DCD0B66"/>
    <w:rsid w:val="6DF901E4"/>
    <w:rsid w:val="6E293A19"/>
    <w:rsid w:val="6E437F6A"/>
    <w:rsid w:val="6E4D3707"/>
    <w:rsid w:val="6E6A5AB6"/>
    <w:rsid w:val="6E6F44B4"/>
    <w:rsid w:val="6E7D04EE"/>
    <w:rsid w:val="6ED6704A"/>
    <w:rsid w:val="6F0D28D0"/>
    <w:rsid w:val="6F4463D4"/>
    <w:rsid w:val="6F6C738E"/>
    <w:rsid w:val="6FAE58E6"/>
    <w:rsid w:val="6FE70982"/>
    <w:rsid w:val="6FEE44C3"/>
    <w:rsid w:val="70157835"/>
    <w:rsid w:val="706B361B"/>
    <w:rsid w:val="70A97C9F"/>
    <w:rsid w:val="70CB3934"/>
    <w:rsid w:val="71065F38"/>
    <w:rsid w:val="71317D2F"/>
    <w:rsid w:val="71777006"/>
    <w:rsid w:val="717F42C5"/>
    <w:rsid w:val="718A5276"/>
    <w:rsid w:val="71D07004"/>
    <w:rsid w:val="71D76A8E"/>
    <w:rsid w:val="721A15C9"/>
    <w:rsid w:val="724901BF"/>
    <w:rsid w:val="72493733"/>
    <w:rsid w:val="7294672D"/>
    <w:rsid w:val="729B56B9"/>
    <w:rsid w:val="72EB27F1"/>
    <w:rsid w:val="73717057"/>
    <w:rsid w:val="743261FE"/>
    <w:rsid w:val="7460039D"/>
    <w:rsid w:val="74862257"/>
    <w:rsid w:val="74C94DB4"/>
    <w:rsid w:val="74D16ABA"/>
    <w:rsid w:val="74FC7910"/>
    <w:rsid w:val="75031176"/>
    <w:rsid w:val="75662603"/>
    <w:rsid w:val="75662C93"/>
    <w:rsid w:val="756D2E41"/>
    <w:rsid w:val="75966868"/>
    <w:rsid w:val="75B97B95"/>
    <w:rsid w:val="75E44344"/>
    <w:rsid w:val="76117735"/>
    <w:rsid w:val="761413A9"/>
    <w:rsid w:val="769C5E57"/>
    <w:rsid w:val="76B2549B"/>
    <w:rsid w:val="76B53CA6"/>
    <w:rsid w:val="76DF2161"/>
    <w:rsid w:val="770C7184"/>
    <w:rsid w:val="771B0CE3"/>
    <w:rsid w:val="77352BFE"/>
    <w:rsid w:val="77511994"/>
    <w:rsid w:val="77A11798"/>
    <w:rsid w:val="77B425C1"/>
    <w:rsid w:val="77C77976"/>
    <w:rsid w:val="77FE6B23"/>
    <w:rsid w:val="78177082"/>
    <w:rsid w:val="782C2852"/>
    <w:rsid w:val="783B3BD9"/>
    <w:rsid w:val="783E33C3"/>
    <w:rsid w:val="78654D55"/>
    <w:rsid w:val="78992409"/>
    <w:rsid w:val="7899274E"/>
    <w:rsid w:val="78C740DC"/>
    <w:rsid w:val="78FE2B52"/>
    <w:rsid w:val="79147BBC"/>
    <w:rsid w:val="79403C01"/>
    <w:rsid w:val="79474422"/>
    <w:rsid w:val="795F1331"/>
    <w:rsid w:val="7986452E"/>
    <w:rsid w:val="79AC08BB"/>
    <w:rsid w:val="79C63521"/>
    <w:rsid w:val="79CE1139"/>
    <w:rsid w:val="79F006ED"/>
    <w:rsid w:val="7A0C2D9D"/>
    <w:rsid w:val="7A801888"/>
    <w:rsid w:val="7AF06E9A"/>
    <w:rsid w:val="7B2C7DF1"/>
    <w:rsid w:val="7B4F2F0E"/>
    <w:rsid w:val="7B5455AE"/>
    <w:rsid w:val="7B696786"/>
    <w:rsid w:val="7BC25D04"/>
    <w:rsid w:val="7BE7544C"/>
    <w:rsid w:val="7BF40FBC"/>
    <w:rsid w:val="7C3A76E6"/>
    <w:rsid w:val="7C571819"/>
    <w:rsid w:val="7C6760FD"/>
    <w:rsid w:val="7C7D4343"/>
    <w:rsid w:val="7C945CA8"/>
    <w:rsid w:val="7CC5116E"/>
    <w:rsid w:val="7CD33D97"/>
    <w:rsid w:val="7D0503C1"/>
    <w:rsid w:val="7D1B4B9B"/>
    <w:rsid w:val="7D3B6123"/>
    <w:rsid w:val="7D472D1A"/>
    <w:rsid w:val="7D5C2B55"/>
    <w:rsid w:val="7D60202E"/>
    <w:rsid w:val="7D6D3776"/>
    <w:rsid w:val="7D754F99"/>
    <w:rsid w:val="7D7D68AD"/>
    <w:rsid w:val="7D9121E7"/>
    <w:rsid w:val="7D9A6378"/>
    <w:rsid w:val="7DCF7630"/>
    <w:rsid w:val="7E4159BB"/>
    <w:rsid w:val="7E527C01"/>
    <w:rsid w:val="7E6834D7"/>
    <w:rsid w:val="7EBE4A34"/>
    <w:rsid w:val="7F494EB9"/>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nhideWhenUsed="0" w:uiPriority="1"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52"/>
    <w:autoRedefine/>
    <w:unhideWhenUsed/>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7">
    <w:name w:val="heading 4"/>
    <w:basedOn w:val="1"/>
    <w:next w:val="1"/>
    <w:autoRedefine/>
    <w:qFormat/>
    <w:uiPriority w:val="0"/>
    <w:pPr>
      <w:keepNext/>
      <w:keepLines/>
      <w:spacing w:line="360" w:lineRule="auto"/>
      <w:outlineLvl w:val="3"/>
    </w:pPr>
    <w:rPr>
      <w:rFonts w:ascii="Arial" w:hAnsi="Arial"/>
      <w:b/>
    </w:rPr>
  </w:style>
  <w:style w:type="paragraph" w:styleId="8">
    <w:name w:val="heading 5"/>
    <w:basedOn w:val="1"/>
    <w:next w:val="1"/>
    <w:autoRedefine/>
    <w:qFormat/>
    <w:uiPriority w:val="1"/>
    <w:pPr>
      <w:ind w:left="1188" w:hanging="527"/>
      <w:outlineLvl w:val="4"/>
    </w:pPr>
    <w:rPr>
      <w:rFonts w:ascii="Microsoft JhengHei" w:hAnsi="Microsoft JhengHei" w:eastAsia="Microsoft JhengHei" w:cs="Microsoft JhengHei"/>
      <w:b/>
      <w:bCs/>
      <w:szCs w:val="21"/>
      <w:lang w:val="zh-CN" w:bidi="zh-CN"/>
    </w:rPr>
  </w:style>
  <w:style w:type="paragraph" w:styleId="9">
    <w:name w:val="heading 8"/>
    <w:basedOn w:val="1"/>
    <w:autoRedefine/>
    <w:qFormat/>
    <w:uiPriority w:val="1"/>
    <w:pPr>
      <w:ind w:left="20"/>
      <w:outlineLvl w:val="8"/>
    </w:pPr>
    <w:rPr>
      <w:rFonts w:ascii="宋体" w:hAnsi="宋体" w:eastAsia="宋体" w:cs="宋体"/>
      <w:sz w:val="20"/>
      <w:szCs w:val="20"/>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basedOn w:val="3"/>
    <w:autoRedefine/>
    <w:qFormat/>
    <w:uiPriority w:val="1"/>
    <w:pPr>
      <w:spacing w:line="400" w:lineRule="exact"/>
    </w:pPr>
    <w:rPr>
      <w:sz w:val="24"/>
    </w:rPr>
  </w:style>
  <w:style w:type="paragraph" w:customStyle="1" w:styleId="3">
    <w:name w:val="正文_1"/>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styleId="10">
    <w:name w:val="Normal Indent"/>
    <w:basedOn w:val="1"/>
    <w:autoRedefine/>
    <w:qFormat/>
    <w:uiPriority w:val="0"/>
    <w:pPr>
      <w:ind w:firstLine="420" w:firstLineChars="200"/>
    </w:pPr>
  </w:style>
  <w:style w:type="paragraph" w:styleId="11">
    <w:name w:val="caption"/>
    <w:basedOn w:val="1"/>
    <w:next w:val="1"/>
    <w:autoRedefine/>
    <w:qFormat/>
    <w:uiPriority w:val="0"/>
    <w:rPr>
      <w:rFonts w:ascii="Arial" w:hAnsi="Arial" w:eastAsia="黑体" w:cs="Arial"/>
      <w:sz w:val="20"/>
    </w:rPr>
  </w:style>
  <w:style w:type="paragraph" w:styleId="12">
    <w:name w:val="annotation text"/>
    <w:basedOn w:val="1"/>
    <w:link w:val="71"/>
    <w:autoRedefine/>
    <w:qFormat/>
    <w:uiPriority w:val="0"/>
    <w:pPr>
      <w:jc w:val="left"/>
    </w:pPr>
  </w:style>
  <w:style w:type="paragraph" w:styleId="13">
    <w:name w:val="Body Text 3"/>
    <w:basedOn w:val="1"/>
    <w:autoRedefine/>
    <w:qFormat/>
    <w:uiPriority w:val="0"/>
    <w:rPr>
      <w:rFonts w:ascii="宋体"/>
      <w:sz w:val="24"/>
      <w:szCs w:val="20"/>
    </w:rPr>
  </w:style>
  <w:style w:type="paragraph" w:styleId="14">
    <w:name w:val="Body Text"/>
    <w:basedOn w:val="1"/>
    <w:next w:val="15"/>
    <w:link w:val="77"/>
    <w:autoRedefine/>
    <w:qFormat/>
    <w:uiPriority w:val="0"/>
    <w:pPr>
      <w:spacing w:after="120"/>
    </w:pPr>
  </w:style>
  <w:style w:type="paragraph" w:customStyle="1" w:styleId="1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Body Text Indent"/>
    <w:basedOn w:val="1"/>
    <w:next w:val="17"/>
    <w:autoRedefine/>
    <w:qFormat/>
    <w:uiPriority w:val="0"/>
    <w:pPr>
      <w:spacing w:after="120"/>
      <w:ind w:left="420" w:leftChars="200"/>
    </w:pPr>
  </w:style>
  <w:style w:type="paragraph" w:customStyle="1" w:styleId="17">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styleId="18">
    <w:name w:val="List 2"/>
    <w:basedOn w:val="1"/>
    <w:autoRedefine/>
    <w:unhideWhenUsed/>
    <w:qFormat/>
    <w:uiPriority w:val="99"/>
    <w:pPr>
      <w:spacing w:before="100" w:beforeAutospacing="1" w:after="100" w:afterAutospacing="1" w:line="360" w:lineRule="auto"/>
      <w:ind w:left="100" w:leftChars="200" w:hanging="200" w:hangingChars="200"/>
      <w:contextualSpacing/>
    </w:pPr>
    <w:rPr>
      <w:sz w:val="24"/>
    </w:rPr>
  </w:style>
  <w:style w:type="paragraph" w:styleId="19">
    <w:name w:val="toc 5"/>
    <w:basedOn w:val="1"/>
    <w:next w:val="1"/>
    <w:autoRedefine/>
    <w:qFormat/>
    <w:uiPriority w:val="0"/>
    <w:pPr>
      <w:tabs>
        <w:tab w:val="right" w:leader="dot" w:pos="8296"/>
      </w:tabs>
      <w:ind w:left="1050" w:leftChars="500"/>
    </w:pPr>
  </w:style>
  <w:style w:type="paragraph" w:styleId="20">
    <w:name w:val="toc 3"/>
    <w:basedOn w:val="1"/>
    <w:next w:val="1"/>
    <w:autoRedefine/>
    <w:qFormat/>
    <w:uiPriority w:val="0"/>
    <w:pPr>
      <w:ind w:left="840" w:leftChars="400"/>
    </w:pPr>
  </w:style>
  <w:style w:type="paragraph" w:styleId="21">
    <w:name w:val="Plain Text"/>
    <w:basedOn w:val="1"/>
    <w:autoRedefine/>
    <w:qFormat/>
    <w:uiPriority w:val="0"/>
    <w:rPr>
      <w:rFonts w:ascii="宋体" w:hAnsi="Courier New" w:cs="Courier New"/>
      <w:szCs w:val="21"/>
    </w:rPr>
  </w:style>
  <w:style w:type="paragraph" w:styleId="22">
    <w:name w:val="Balloon Text"/>
    <w:basedOn w:val="1"/>
    <w:link w:val="70"/>
    <w:autoRedefine/>
    <w:qFormat/>
    <w:uiPriority w:val="0"/>
    <w:rPr>
      <w:sz w:val="18"/>
      <w:szCs w:val="18"/>
    </w:rPr>
  </w:style>
  <w:style w:type="paragraph" w:styleId="23">
    <w:name w:val="footer"/>
    <w:basedOn w:val="1"/>
    <w:autoRedefine/>
    <w:qFormat/>
    <w:uiPriority w:val="99"/>
    <w:pPr>
      <w:tabs>
        <w:tab w:val="center" w:pos="4153"/>
        <w:tab w:val="right" w:pos="8306"/>
      </w:tabs>
      <w:snapToGrid w:val="0"/>
      <w:jc w:val="left"/>
    </w:pPr>
    <w:rPr>
      <w:sz w:val="18"/>
      <w:szCs w:val="18"/>
    </w:rPr>
  </w:style>
  <w:style w:type="paragraph" w:styleId="24">
    <w:name w:val="envelope return"/>
    <w:basedOn w:val="1"/>
    <w:autoRedefine/>
    <w:qFormat/>
    <w:uiPriority w:val="0"/>
    <w:pPr>
      <w:widowControl/>
      <w:jc w:val="left"/>
    </w:pPr>
    <w:rPr>
      <w:rFonts w:ascii="Garamond" w:hAnsi="Garamond"/>
      <w:kern w:val="0"/>
      <w:sz w:val="22"/>
      <w:szCs w:val="20"/>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before="120" w:after="120"/>
      <w:jc w:val="left"/>
    </w:pPr>
    <w:rPr>
      <w:b/>
      <w:bCs/>
      <w:caps/>
      <w:sz w:val="20"/>
      <w:szCs w:val="20"/>
    </w:rPr>
  </w:style>
  <w:style w:type="paragraph" w:styleId="27">
    <w:name w:val="toc 4"/>
    <w:basedOn w:val="1"/>
    <w:next w:val="1"/>
    <w:autoRedefine/>
    <w:qFormat/>
    <w:uiPriority w:val="0"/>
    <w:pPr>
      <w:tabs>
        <w:tab w:val="left" w:pos="1890"/>
        <w:tab w:val="right" w:leader="dot" w:pos="8296"/>
      </w:tabs>
      <w:ind w:left="630" w:leftChars="300"/>
    </w:pPr>
  </w:style>
  <w:style w:type="paragraph" w:styleId="28">
    <w:name w:val="toc 2"/>
    <w:basedOn w:val="1"/>
    <w:next w:val="1"/>
    <w:autoRedefine/>
    <w:qFormat/>
    <w:uiPriority w:val="0"/>
    <w:pPr>
      <w:ind w:left="210"/>
      <w:jc w:val="left"/>
    </w:pPr>
    <w:rPr>
      <w:smallCaps/>
      <w:sz w:val="20"/>
      <w:szCs w:val="20"/>
    </w:rPr>
  </w:style>
  <w:style w:type="paragraph" w:styleId="29">
    <w:name w:val="Body Text 2"/>
    <w:basedOn w:val="1"/>
    <w:next w:val="14"/>
    <w:autoRedefine/>
    <w:qFormat/>
    <w:uiPriority w:val="0"/>
    <w:pPr>
      <w:autoSpaceDE w:val="0"/>
      <w:autoSpaceDN w:val="0"/>
      <w:adjustRightInd w:val="0"/>
      <w:spacing w:line="480" w:lineRule="exact"/>
      <w:jc w:val="left"/>
    </w:pPr>
    <w:rPr>
      <w:rFonts w:ascii="宋体" w:hAnsi="宋体"/>
      <w:color w:val="000000"/>
      <w:sz w:val="24"/>
    </w:rPr>
  </w:style>
  <w:style w:type="paragraph" w:styleId="30">
    <w:name w:val="Message Header"/>
    <w:basedOn w:val="1"/>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1">
    <w:name w:val="Normal (Web)"/>
    <w:basedOn w:val="1"/>
    <w:next w:val="21"/>
    <w:autoRedefine/>
    <w:qFormat/>
    <w:uiPriority w:val="0"/>
    <w:pPr>
      <w:widowControl/>
      <w:spacing w:before="100" w:after="100"/>
      <w:jc w:val="left"/>
    </w:pPr>
    <w:rPr>
      <w:rFonts w:ascii="宋体" w:hAnsi="宋体"/>
      <w:kern w:val="0"/>
      <w:sz w:val="24"/>
    </w:rPr>
  </w:style>
  <w:style w:type="paragraph" w:styleId="32">
    <w:name w:val="annotation subject"/>
    <w:basedOn w:val="12"/>
    <w:next w:val="12"/>
    <w:link w:val="72"/>
    <w:autoRedefine/>
    <w:semiHidden/>
    <w:unhideWhenUsed/>
    <w:qFormat/>
    <w:uiPriority w:val="0"/>
    <w:rPr>
      <w:b/>
      <w:bCs/>
    </w:rPr>
  </w:style>
  <w:style w:type="paragraph" w:styleId="33">
    <w:name w:val="Body Text First Indent"/>
    <w:basedOn w:val="14"/>
    <w:next w:val="34"/>
    <w:autoRedefine/>
    <w:qFormat/>
    <w:uiPriority w:val="0"/>
    <w:pPr>
      <w:spacing w:line="312" w:lineRule="auto"/>
      <w:ind w:firstLine="420"/>
    </w:pPr>
  </w:style>
  <w:style w:type="paragraph" w:styleId="34">
    <w:name w:val="Body Text First Indent 2"/>
    <w:basedOn w:val="16"/>
    <w:next w:val="1"/>
    <w:autoRedefine/>
    <w:unhideWhenUsed/>
    <w:qFormat/>
    <w:uiPriority w:val="0"/>
    <w:pPr>
      <w:ind w:firstLine="420" w:firstLineChars="200"/>
    </w:p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autoRedefine/>
    <w:qFormat/>
    <w:uiPriority w:val="0"/>
    <w:rPr>
      <w:b/>
      <w:bCs/>
    </w:rPr>
  </w:style>
  <w:style w:type="character" w:styleId="39">
    <w:name w:val="page number"/>
    <w:basedOn w:val="37"/>
    <w:autoRedefine/>
    <w:qFormat/>
    <w:uiPriority w:val="0"/>
  </w:style>
  <w:style w:type="character" w:styleId="40">
    <w:name w:val="FollowedHyperlink"/>
    <w:basedOn w:val="37"/>
    <w:autoRedefine/>
    <w:semiHidden/>
    <w:unhideWhenUsed/>
    <w:qFormat/>
    <w:uiPriority w:val="0"/>
    <w:rPr>
      <w:color w:val="333333"/>
      <w:u w:val="none"/>
    </w:rPr>
  </w:style>
  <w:style w:type="character" w:styleId="41">
    <w:name w:val="Emphasis"/>
    <w:basedOn w:val="37"/>
    <w:autoRedefine/>
    <w:qFormat/>
    <w:uiPriority w:val="0"/>
  </w:style>
  <w:style w:type="character" w:styleId="42">
    <w:name w:val="HTML Definition"/>
    <w:basedOn w:val="37"/>
    <w:autoRedefine/>
    <w:semiHidden/>
    <w:unhideWhenUsed/>
    <w:qFormat/>
    <w:uiPriority w:val="0"/>
  </w:style>
  <w:style w:type="character" w:styleId="43">
    <w:name w:val="HTML Typewriter"/>
    <w:basedOn w:val="37"/>
    <w:autoRedefine/>
    <w:semiHidden/>
    <w:unhideWhenUsed/>
    <w:qFormat/>
    <w:uiPriority w:val="0"/>
    <w:rPr>
      <w:rFonts w:hint="default" w:ascii="monospace" w:hAnsi="monospace" w:eastAsia="monospace" w:cs="monospace"/>
      <w:sz w:val="20"/>
    </w:rPr>
  </w:style>
  <w:style w:type="character" w:styleId="44">
    <w:name w:val="HTML Acronym"/>
    <w:basedOn w:val="37"/>
    <w:autoRedefine/>
    <w:semiHidden/>
    <w:unhideWhenUsed/>
    <w:qFormat/>
    <w:uiPriority w:val="0"/>
  </w:style>
  <w:style w:type="character" w:styleId="45">
    <w:name w:val="HTML Variable"/>
    <w:basedOn w:val="37"/>
    <w:autoRedefine/>
    <w:semiHidden/>
    <w:unhideWhenUsed/>
    <w:qFormat/>
    <w:uiPriority w:val="0"/>
  </w:style>
  <w:style w:type="character" w:styleId="46">
    <w:name w:val="Hyperlink"/>
    <w:basedOn w:val="37"/>
    <w:autoRedefine/>
    <w:qFormat/>
    <w:uiPriority w:val="0"/>
    <w:rPr>
      <w:rFonts w:ascii="微软雅黑" w:hAnsi="微软雅黑" w:eastAsia="微软雅黑" w:cs="微软雅黑"/>
      <w:color w:val="02396F"/>
      <w:u w:val="single"/>
    </w:rPr>
  </w:style>
  <w:style w:type="character" w:styleId="47">
    <w:name w:val="HTML Code"/>
    <w:basedOn w:val="37"/>
    <w:autoRedefine/>
    <w:semiHidden/>
    <w:unhideWhenUsed/>
    <w:qFormat/>
    <w:uiPriority w:val="0"/>
    <w:rPr>
      <w:rFonts w:hint="default" w:ascii="monospace" w:hAnsi="monospace" w:eastAsia="monospace" w:cs="monospace"/>
      <w:sz w:val="20"/>
    </w:rPr>
  </w:style>
  <w:style w:type="character" w:styleId="48">
    <w:name w:val="annotation reference"/>
    <w:basedOn w:val="37"/>
    <w:autoRedefine/>
    <w:semiHidden/>
    <w:unhideWhenUsed/>
    <w:qFormat/>
    <w:uiPriority w:val="0"/>
    <w:rPr>
      <w:sz w:val="21"/>
      <w:szCs w:val="21"/>
    </w:rPr>
  </w:style>
  <w:style w:type="character" w:styleId="49">
    <w:name w:val="HTML Cite"/>
    <w:basedOn w:val="37"/>
    <w:autoRedefine/>
    <w:semiHidden/>
    <w:unhideWhenUsed/>
    <w:qFormat/>
    <w:uiPriority w:val="0"/>
  </w:style>
  <w:style w:type="character" w:styleId="50">
    <w:name w:val="HTML Keyboard"/>
    <w:basedOn w:val="37"/>
    <w:autoRedefine/>
    <w:semiHidden/>
    <w:unhideWhenUsed/>
    <w:qFormat/>
    <w:uiPriority w:val="0"/>
    <w:rPr>
      <w:rFonts w:hint="default" w:ascii="monospace" w:hAnsi="monospace" w:eastAsia="monospace" w:cs="monospace"/>
      <w:sz w:val="20"/>
    </w:rPr>
  </w:style>
  <w:style w:type="character" w:styleId="51">
    <w:name w:val="HTML Sample"/>
    <w:basedOn w:val="37"/>
    <w:autoRedefine/>
    <w:semiHidden/>
    <w:unhideWhenUsed/>
    <w:qFormat/>
    <w:uiPriority w:val="0"/>
    <w:rPr>
      <w:rFonts w:ascii="monospace" w:hAnsi="monospace" w:eastAsia="monospace" w:cs="monospace"/>
    </w:rPr>
  </w:style>
  <w:style w:type="character" w:customStyle="1" w:styleId="52">
    <w:name w:val="标题 3 Char"/>
    <w:basedOn w:val="37"/>
    <w:link w:val="6"/>
    <w:autoRedefine/>
    <w:qFormat/>
    <w:uiPriority w:val="0"/>
    <w:rPr>
      <w:rFonts w:ascii="黑体" w:hAnsi="宋体" w:eastAsia="黑体"/>
      <w:bCs/>
      <w:kern w:val="2"/>
      <w:sz w:val="28"/>
      <w:szCs w:val="28"/>
    </w:rPr>
  </w:style>
  <w:style w:type="character" w:customStyle="1" w:styleId="53">
    <w:name w:val="标题 1 Char"/>
    <w:basedOn w:val="37"/>
    <w:link w:val="4"/>
    <w:autoRedefine/>
    <w:qFormat/>
    <w:uiPriority w:val="0"/>
    <w:rPr>
      <w:b/>
      <w:bCs/>
      <w:kern w:val="44"/>
      <w:sz w:val="44"/>
      <w:szCs w:val="44"/>
    </w:rPr>
  </w:style>
  <w:style w:type="paragraph" w:customStyle="1" w:styleId="54">
    <w:name w:val="TOC Heading1"/>
    <w:next w:val="1"/>
    <w:autoRedefine/>
    <w:qFormat/>
    <w:uiPriority w:val="0"/>
    <w:pPr>
      <w:wordWrap w:val="0"/>
    </w:pPr>
    <w:rPr>
      <w:rFonts w:ascii="Calibri" w:hAnsi="Calibri" w:eastAsia="宋体" w:cs="Times New Roman"/>
      <w:sz w:val="32"/>
      <w:szCs w:val="22"/>
      <w:lang w:val="en-US" w:eastAsia="zh-CN" w:bidi="ar-SA"/>
    </w:rPr>
  </w:style>
  <w:style w:type="paragraph" w:customStyle="1" w:styleId="55">
    <w:name w:val="Table Paragraph"/>
    <w:basedOn w:val="1"/>
    <w:autoRedefine/>
    <w:qFormat/>
    <w:uiPriority w:val="1"/>
  </w:style>
  <w:style w:type="paragraph" w:customStyle="1" w:styleId="56">
    <w:name w:val="p0"/>
    <w:basedOn w:val="1"/>
    <w:autoRedefine/>
    <w:qFormat/>
    <w:uiPriority w:val="0"/>
    <w:pPr>
      <w:widowControl/>
    </w:pPr>
    <w:rPr>
      <w:kern w:val="0"/>
      <w:szCs w:val="21"/>
    </w:rPr>
  </w:style>
  <w:style w:type="paragraph" w:styleId="57">
    <w:name w:val="List Paragraph"/>
    <w:basedOn w:val="1"/>
    <w:autoRedefine/>
    <w:qFormat/>
    <w:uiPriority w:val="34"/>
    <w:pPr>
      <w:ind w:firstLine="420" w:firstLineChars="200"/>
    </w:pPr>
    <w:rPr>
      <w:rFonts w:ascii="Calibri" w:hAnsi="Calibri"/>
      <w:szCs w:val="22"/>
    </w:rPr>
  </w:style>
  <w:style w:type="paragraph" w:customStyle="1" w:styleId="58">
    <w:name w:val="样式29"/>
    <w:basedOn w:val="59"/>
    <w:autoRedefine/>
    <w:qFormat/>
    <w:uiPriority w:val="0"/>
    <w:rPr>
      <w:rFonts w:eastAsia="楷体_GB2312"/>
    </w:rPr>
  </w:style>
  <w:style w:type="paragraph" w:customStyle="1" w:styleId="59">
    <w:name w:val="样式9 Char"/>
    <w:basedOn w:val="1"/>
    <w:autoRedefine/>
    <w:qFormat/>
    <w:uiPriority w:val="0"/>
    <w:pPr>
      <w:widowControl/>
      <w:spacing w:line="440" w:lineRule="exact"/>
      <w:ind w:firstLine="200" w:firstLineChars="200"/>
      <w:jc w:val="left"/>
    </w:pPr>
    <w:rPr>
      <w:spacing w:val="6"/>
      <w:kern w:val="0"/>
      <w:sz w:val="20"/>
      <w:szCs w:val="20"/>
    </w:rPr>
  </w:style>
  <w:style w:type="paragraph" w:customStyle="1" w:styleId="60">
    <w:name w:val="无间隔111"/>
    <w:basedOn w:val="1"/>
    <w:autoRedefine/>
    <w:qFormat/>
    <w:uiPriority w:val="1"/>
    <w:pPr>
      <w:spacing w:line="400" w:lineRule="exact"/>
    </w:pPr>
    <w:rPr>
      <w:rFonts w:ascii="Calibri" w:hAnsi="Calibri"/>
      <w:sz w:val="24"/>
    </w:rPr>
  </w:style>
  <w:style w:type="paragraph" w:customStyle="1" w:styleId="61">
    <w:name w:val="表格字体-靠左"/>
    <w:basedOn w:val="62"/>
    <w:next w:val="1"/>
    <w:autoRedefine/>
    <w:qFormat/>
    <w:uiPriority w:val="0"/>
    <w:pPr>
      <w:ind w:firstLine="280" w:firstLineChars="100"/>
      <w:jc w:val="left"/>
    </w:pPr>
  </w:style>
  <w:style w:type="paragraph" w:customStyle="1" w:styleId="62">
    <w:name w:val="表格字体-居中"/>
    <w:basedOn w:val="1"/>
    <w:next w:val="1"/>
    <w:autoRedefine/>
    <w:qFormat/>
    <w:uiPriority w:val="0"/>
    <w:pPr>
      <w:jc w:val="center"/>
    </w:pPr>
  </w:style>
  <w:style w:type="paragraph" w:customStyle="1" w:styleId="63">
    <w:name w:val="前附表正文-三级正文"/>
    <w:next w:val="1"/>
    <w:autoRedefine/>
    <w:qFormat/>
    <w:uiPriority w:val="0"/>
    <w:pPr>
      <w:numPr>
        <w:ilvl w:val="2"/>
        <w:numId w:val="1"/>
      </w:numPr>
      <w:spacing w:line="360" w:lineRule="auto"/>
      <w:jc w:val="both"/>
    </w:pPr>
    <w:rPr>
      <w:rFonts w:ascii="Calibri" w:hAnsi="Calibri" w:eastAsia="宋体" w:cs="Times New Roman"/>
      <w:sz w:val="24"/>
      <w:lang w:val="en-US" w:eastAsia="zh-CN" w:bidi="ar-SA"/>
    </w:rPr>
  </w:style>
  <w:style w:type="paragraph" w:customStyle="1" w:styleId="64">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65">
    <w:name w:val="样式 标题 3 + (中文) 黑体 小四 非加粗 段前: 7.8 磅 段后: 0 磅 行距: 固定值 20 磅"/>
    <w:basedOn w:val="6"/>
    <w:autoRedefine/>
    <w:qFormat/>
    <w:uiPriority w:val="0"/>
    <w:pPr>
      <w:spacing w:before="0" w:after="0" w:line="400" w:lineRule="exact"/>
    </w:pPr>
    <w:rPr>
      <w:rFonts w:hAnsi="Times New Roman" w:cs="宋体"/>
      <w:sz w:val="24"/>
    </w:rPr>
  </w:style>
  <w:style w:type="paragraph" w:customStyle="1" w:styleId="66">
    <w:name w:val="列出段落2"/>
    <w:basedOn w:val="1"/>
    <w:autoRedefine/>
    <w:qFormat/>
    <w:uiPriority w:val="0"/>
    <w:pPr>
      <w:spacing w:line="360" w:lineRule="auto"/>
      <w:ind w:firstLine="420" w:firstLineChars="200"/>
    </w:pPr>
    <w:rPr>
      <w:sz w:val="24"/>
      <w:szCs w:val="21"/>
    </w:rPr>
  </w:style>
  <w:style w:type="paragraph" w:customStyle="1" w:styleId="67">
    <w:name w:val="Normal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
    <w:name w:val="WPSOffice手动目录 1"/>
    <w:autoRedefine/>
    <w:qFormat/>
    <w:uiPriority w:val="0"/>
    <w:rPr>
      <w:rFonts w:ascii="Times New Roman" w:hAnsi="Times New Roman" w:eastAsia="宋体" w:cs="Times New Roman"/>
      <w:lang w:val="en-US" w:eastAsia="zh-CN" w:bidi="ar-SA"/>
    </w:rPr>
  </w:style>
  <w:style w:type="paragraph" w:customStyle="1" w:styleId="69">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70">
    <w:name w:val="批注框文本 Char"/>
    <w:basedOn w:val="37"/>
    <w:link w:val="22"/>
    <w:autoRedefine/>
    <w:qFormat/>
    <w:uiPriority w:val="0"/>
    <w:rPr>
      <w:kern w:val="2"/>
      <w:sz w:val="18"/>
      <w:szCs w:val="18"/>
    </w:rPr>
  </w:style>
  <w:style w:type="character" w:customStyle="1" w:styleId="71">
    <w:name w:val="批注文字 Char"/>
    <w:basedOn w:val="37"/>
    <w:link w:val="12"/>
    <w:autoRedefine/>
    <w:qFormat/>
    <w:uiPriority w:val="0"/>
    <w:rPr>
      <w:kern w:val="2"/>
      <w:sz w:val="21"/>
      <w:szCs w:val="24"/>
    </w:rPr>
  </w:style>
  <w:style w:type="character" w:customStyle="1" w:styleId="72">
    <w:name w:val="批注主题 Char"/>
    <w:basedOn w:val="71"/>
    <w:link w:val="32"/>
    <w:autoRedefine/>
    <w:semiHidden/>
    <w:qFormat/>
    <w:uiPriority w:val="0"/>
    <w:rPr>
      <w:b/>
      <w:bCs/>
      <w:kern w:val="2"/>
      <w:sz w:val="21"/>
      <w:szCs w:val="24"/>
    </w:rPr>
  </w:style>
  <w:style w:type="paragraph" w:customStyle="1" w:styleId="73">
    <w:name w:val="*正文"/>
    <w:basedOn w:val="1"/>
    <w:next w:val="1"/>
    <w:autoRedefine/>
    <w:qFormat/>
    <w:uiPriority w:val="0"/>
    <w:pPr>
      <w:widowControl/>
      <w:spacing w:line="360" w:lineRule="auto"/>
      <w:ind w:firstLine="482" w:firstLineChars="200"/>
      <w:jc w:val="left"/>
    </w:pPr>
    <w:rPr>
      <w:rFonts w:ascii="微软雅黑" w:hAnsi="微软雅黑" w:eastAsia="微软雅黑"/>
      <w:kern w:val="0"/>
      <w:szCs w:val="20"/>
    </w:rPr>
  </w:style>
  <w:style w:type="paragraph" w:customStyle="1" w:styleId="74">
    <w:name w:val="列出段落1"/>
    <w:basedOn w:val="1"/>
    <w:autoRedefine/>
    <w:qFormat/>
    <w:uiPriority w:val="0"/>
    <w:pPr>
      <w:spacing w:beforeLines="50" w:afterLines="50" w:line="480" w:lineRule="auto"/>
      <w:ind w:firstLine="420" w:firstLineChars="200"/>
      <w:jc w:val="left"/>
    </w:pPr>
    <w:rPr>
      <w:rFonts w:ascii="Calibri" w:hAnsi="Calibri"/>
      <w:szCs w:val="22"/>
    </w:rPr>
  </w:style>
  <w:style w:type="paragraph" w:customStyle="1" w:styleId="7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6">
    <w:name w:val="列出段落11"/>
    <w:basedOn w:val="1"/>
    <w:autoRedefine/>
    <w:qFormat/>
    <w:uiPriority w:val="0"/>
    <w:pPr>
      <w:spacing w:beforeLines="50" w:afterLines="50" w:line="480" w:lineRule="auto"/>
      <w:ind w:firstLine="420" w:firstLineChars="200"/>
      <w:jc w:val="left"/>
    </w:pPr>
    <w:rPr>
      <w:rFonts w:ascii="Calibri" w:hAnsi="Calibri"/>
      <w:szCs w:val="22"/>
    </w:rPr>
  </w:style>
  <w:style w:type="character" w:customStyle="1" w:styleId="77">
    <w:name w:val="正文文本 Char"/>
    <w:basedOn w:val="37"/>
    <w:link w:val="14"/>
    <w:autoRedefine/>
    <w:qFormat/>
    <w:uiPriority w:val="0"/>
    <w:rPr>
      <w:kern w:val="2"/>
      <w:sz w:val="21"/>
      <w:szCs w:val="24"/>
    </w:rPr>
  </w:style>
  <w:style w:type="paragraph" w:customStyle="1" w:styleId="78">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79">
    <w:name w:val="hover4"/>
    <w:basedOn w:val="37"/>
    <w:autoRedefine/>
    <w:qFormat/>
    <w:uiPriority w:val="0"/>
    <w:rPr>
      <w:color w:val="315EFB"/>
    </w:rPr>
  </w:style>
  <w:style w:type="character" w:customStyle="1" w:styleId="80">
    <w:name w:val="index-module_accountauthentication_3bwix"/>
    <w:basedOn w:val="37"/>
    <w:autoRedefine/>
    <w:qFormat/>
    <w:uiPriority w:val="0"/>
  </w:style>
  <w:style w:type="character" w:customStyle="1" w:styleId="81">
    <w:name w:val="bjh-strong3"/>
    <w:basedOn w:val="37"/>
    <w:autoRedefine/>
    <w:qFormat/>
    <w:uiPriority w:val="0"/>
    <w:rPr>
      <w:color w:val="999999"/>
    </w:rPr>
  </w:style>
  <w:style w:type="character" w:customStyle="1" w:styleId="82">
    <w:name w:val="hover"/>
    <w:basedOn w:val="37"/>
    <w:autoRedefine/>
    <w:qFormat/>
    <w:uiPriority w:val="0"/>
    <w:rPr>
      <w:color w:val="315EFB"/>
    </w:rPr>
  </w:style>
  <w:style w:type="character" w:customStyle="1" w:styleId="83">
    <w:name w:val="status"/>
    <w:basedOn w:val="37"/>
    <w:autoRedefine/>
    <w:qFormat/>
    <w:uiPriority w:val="0"/>
    <w:rPr>
      <w:color w:val="0776DD"/>
    </w:rPr>
  </w:style>
  <w:style w:type="character" w:customStyle="1" w:styleId="84">
    <w:name w:val="time"/>
    <w:basedOn w:val="37"/>
    <w:autoRedefine/>
    <w:qFormat/>
    <w:uiPriority w:val="0"/>
  </w:style>
  <w:style w:type="character" w:customStyle="1" w:styleId="85">
    <w:name w:val="hover1"/>
    <w:basedOn w:val="37"/>
    <w:autoRedefine/>
    <w:qFormat/>
    <w:uiPriority w:val="0"/>
    <w:rPr>
      <w:color w:val="2590EB"/>
    </w:rPr>
  </w:style>
  <w:style w:type="character" w:customStyle="1" w:styleId="86">
    <w:name w:val="hover2"/>
    <w:basedOn w:val="37"/>
    <w:autoRedefine/>
    <w:qFormat/>
    <w:uiPriority w:val="0"/>
    <w:rPr>
      <w:color w:val="2590EB"/>
    </w:rPr>
  </w:style>
  <w:style w:type="character" w:customStyle="1" w:styleId="87">
    <w:name w:val="hover3"/>
    <w:basedOn w:val="37"/>
    <w:autoRedefine/>
    <w:qFormat/>
    <w:uiPriority w:val="0"/>
  </w:style>
  <w:style w:type="paragraph" w:customStyle="1" w:styleId="88">
    <w:name w:val="Heading #3|1"/>
    <w:basedOn w:val="1"/>
    <w:autoRedefine/>
    <w:qFormat/>
    <w:uiPriority w:val="0"/>
    <w:pPr>
      <w:widowControl w:val="0"/>
      <w:shd w:val="clear" w:color="auto" w:fill="auto"/>
      <w:spacing w:line="534" w:lineRule="exact"/>
      <w:ind w:firstLine="520"/>
      <w:outlineLvl w:val="2"/>
    </w:pPr>
    <w:rPr>
      <w:rFonts w:ascii="宋体" w:hAnsi="宋体" w:eastAsia="宋体" w:cs="宋体"/>
      <w:b/>
      <w:bCs/>
      <w:sz w:val="26"/>
      <w:szCs w:val="26"/>
      <w:u w:val="none"/>
      <w:shd w:val="clear" w:color="auto" w:fill="auto"/>
      <w:lang w:val="zh-TW" w:eastAsia="zh-TW" w:bidi="zh-TW"/>
    </w:rPr>
  </w:style>
  <w:style w:type="paragraph" w:customStyle="1" w:styleId="89">
    <w:name w:val="Body text|1"/>
    <w:basedOn w:val="1"/>
    <w:autoRedefine/>
    <w:qFormat/>
    <w:uiPriority w:val="0"/>
    <w:pPr>
      <w:widowControl w:val="0"/>
      <w:shd w:val="clear" w:color="auto" w:fill="auto"/>
      <w:spacing w:line="418" w:lineRule="auto"/>
      <w:ind w:firstLine="400"/>
    </w:pPr>
    <w:rPr>
      <w:rFonts w:ascii="宋体" w:hAnsi="宋体" w:eastAsia="宋体" w:cs="宋体"/>
      <w:sz w:val="26"/>
      <w:szCs w:val="26"/>
      <w:u w:val="none"/>
      <w:shd w:val="clear" w:color="auto" w:fill="auto"/>
      <w:lang w:val="zh-TW" w:eastAsia="zh-TW" w:bidi="zh-TW"/>
    </w:rPr>
  </w:style>
  <w:style w:type="paragraph" w:customStyle="1" w:styleId="90">
    <w:name w:val="Other|1"/>
    <w:basedOn w:val="1"/>
    <w:autoRedefine/>
    <w:qFormat/>
    <w:uiPriority w:val="0"/>
    <w:pPr>
      <w:widowControl w:val="0"/>
      <w:shd w:val="clear" w:color="auto" w:fill="auto"/>
      <w:spacing w:line="418" w:lineRule="auto"/>
      <w:ind w:firstLine="400"/>
    </w:pPr>
    <w:rPr>
      <w:rFonts w:ascii="宋体" w:hAnsi="宋体" w:eastAsia="宋体" w:cs="宋体"/>
      <w:sz w:val="26"/>
      <w:szCs w:val="26"/>
      <w:u w:val="none"/>
      <w:shd w:val="clear" w:color="auto" w:fill="auto"/>
      <w:lang w:val="zh-TW" w:eastAsia="zh-TW" w:bidi="zh-TW"/>
    </w:rPr>
  </w:style>
  <w:style w:type="character" w:customStyle="1" w:styleId="91">
    <w:name w:val="font11"/>
    <w:basedOn w:val="37"/>
    <w:autoRedefine/>
    <w:qFormat/>
    <w:uiPriority w:val="0"/>
    <w:rPr>
      <w:rFonts w:hint="eastAsia" w:ascii="仿宋" w:hAnsi="仿宋" w:eastAsia="仿宋" w:cs="仿宋"/>
      <w:color w:val="000000"/>
      <w:sz w:val="24"/>
      <w:szCs w:val="24"/>
      <w:u w:val="none"/>
    </w:rPr>
  </w:style>
  <w:style w:type="character" w:customStyle="1" w:styleId="92">
    <w:name w:val="font71"/>
    <w:basedOn w:val="37"/>
    <w:autoRedefine/>
    <w:qFormat/>
    <w:uiPriority w:val="0"/>
    <w:rPr>
      <w:rFonts w:hint="eastAsia" w:ascii="仿宋" w:hAnsi="仿宋" w:eastAsia="仿宋" w:cs="仿宋"/>
      <w:color w:val="000000"/>
      <w:sz w:val="24"/>
      <w:szCs w:val="24"/>
      <w:u w:val="none"/>
      <w:vertAlign w:val="superscript"/>
    </w:rPr>
  </w:style>
  <w:style w:type="character" w:customStyle="1" w:styleId="93">
    <w:name w:val="font61"/>
    <w:basedOn w:val="37"/>
    <w:autoRedefine/>
    <w:qFormat/>
    <w:uiPriority w:val="0"/>
    <w:rPr>
      <w:rFonts w:hint="eastAsia" w:ascii="黑体" w:hAnsi="宋体" w:eastAsia="黑体" w:cs="黑体"/>
      <w:color w:val="000000"/>
      <w:sz w:val="28"/>
      <w:szCs w:val="28"/>
      <w:u w:val="none"/>
    </w:rPr>
  </w:style>
  <w:style w:type="character" w:customStyle="1" w:styleId="94">
    <w:name w:val="font81"/>
    <w:basedOn w:val="37"/>
    <w:autoRedefine/>
    <w:qFormat/>
    <w:uiPriority w:val="0"/>
    <w:rPr>
      <w:rFonts w:ascii="楷体" w:hAnsi="楷体" w:eastAsia="楷体" w:cs="楷体"/>
      <w:color w:val="000000"/>
      <w:sz w:val="22"/>
      <w:szCs w:val="22"/>
      <w:u w:val="none"/>
    </w:rPr>
  </w:style>
  <w:style w:type="character" w:customStyle="1" w:styleId="95">
    <w:name w:val="font51"/>
    <w:basedOn w:val="37"/>
    <w:autoRedefine/>
    <w:qFormat/>
    <w:uiPriority w:val="0"/>
    <w:rPr>
      <w:rFonts w:hint="eastAsia" w:ascii="黑体" w:hAnsi="宋体" w:eastAsia="黑体" w:cs="黑体"/>
      <w:color w:val="000000"/>
      <w:sz w:val="28"/>
      <w:szCs w:val="28"/>
      <w:u w:val="none"/>
    </w:rPr>
  </w:style>
  <w:style w:type="table" w:customStyle="1" w:styleId="96">
    <w:name w:val="Table Normal"/>
    <w:autoRedefine/>
    <w:semiHidden/>
    <w:unhideWhenUsed/>
    <w:qFormat/>
    <w:uiPriority w:val="0"/>
    <w:tblPr>
      <w:tblCellMar>
        <w:top w:w="0" w:type="dxa"/>
        <w:left w:w="0" w:type="dxa"/>
        <w:bottom w:w="0" w:type="dxa"/>
        <w:right w:w="0" w:type="dxa"/>
      </w:tblCellMar>
    </w:tblPr>
  </w:style>
  <w:style w:type="paragraph" w:customStyle="1" w:styleId="97">
    <w:name w:val="_Style 2"/>
    <w:basedOn w:val="4"/>
    <w:next w:val="1"/>
    <w:autoRedefine/>
    <w:qFormat/>
    <w:uiPriority w:val="0"/>
    <w:pPr>
      <w:outlineLvl w:val="9"/>
    </w:pPr>
  </w:style>
  <w:style w:type="paragraph" w:customStyle="1" w:styleId="98">
    <w:name w:val="_Style 6"/>
    <w:basedOn w:val="4"/>
    <w:next w:val="1"/>
    <w:autoRedefine/>
    <w:qFormat/>
    <w:uiPriority w:val="0"/>
    <w:pPr>
      <w:outlineLvl w:val="9"/>
    </w:pPr>
  </w:style>
  <w:style w:type="character" w:customStyle="1" w:styleId="99">
    <w:name w:val="font21"/>
    <w:basedOn w:val="37"/>
    <w:autoRedefine/>
    <w:qFormat/>
    <w:uiPriority w:val="0"/>
    <w:rPr>
      <w:rFonts w:ascii="宋体" w:hAnsi="宋体" w:eastAsia="宋体" w:cs="宋体"/>
      <w:b/>
      <w:bCs/>
      <w:color w:val="000000"/>
      <w:sz w:val="20"/>
      <w:szCs w:val="20"/>
      <w:u w:val="none"/>
    </w:rPr>
  </w:style>
  <w:style w:type="character" w:customStyle="1" w:styleId="100">
    <w:name w:val="font31"/>
    <w:basedOn w:val="37"/>
    <w:autoRedefine/>
    <w:qFormat/>
    <w:uiPriority w:val="0"/>
    <w:rPr>
      <w:rFonts w:ascii="宋体" w:hAnsi="宋体" w:eastAsia="宋体" w:cs="宋体"/>
      <w:color w:val="000000"/>
      <w:sz w:val="20"/>
      <w:szCs w:val="20"/>
      <w:u w:val="none"/>
    </w:rPr>
  </w:style>
  <w:style w:type="character" w:customStyle="1" w:styleId="101">
    <w:name w:val="font41"/>
    <w:basedOn w:val="37"/>
    <w:autoRedefine/>
    <w:qFormat/>
    <w:uiPriority w:val="0"/>
    <w:rPr>
      <w:rFonts w:ascii="宋体" w:hAnsi="宋体" w:eastAsia="宋体" w:cs="宋体"/>
      <w:b/>
      <w:bCs/>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F58C1A-E074-4EF8-B440-3EDEB2A1ED3B}">
  <ds:schemaRefs/>
</ds:datastoreItem>
</file>

<file path=docProps/app.xml><?xml version="1.0" encoding="utf-8"?>
<Properties xmlns="http://schemas.openxmlformats.org/officeDocument/2006/extended-properties" xmlns:vt="http://schemas.openxmlformats.org/officeDocument/2006/docPropsVTypes">
  <Template>Normal.dotm</Template>
  <Pages>203</Pages>
  <Words>102236</Words>
  <Characters>108621</Characters>
  <Lines>299</Lines>
  <Paragraphs>84</Paragraphs>
  <TotalTime>3</TotalTime>
  <ScaleCrop>false</ScaleCrop>
  <LinksUpToDate>false</LinksUpToDate>
  <CharactersWithSpaces>118940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2021-07-26T07:18:00Z</dcterms:created>
  <cp:lastPrinted>2021-08-03T00:50:00Z</cp:lastPrinted>
  <dcterms:modified xsi:type="dcterms:W3CDTF">2024-03-15T02:34:55Z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CF6BFD03CFC34F69BF0B339973C25003_13</vt:lpwstr>
  </property>
  <property fmtid="{D5CDD505-2E9C-101B-9397-08002B2CF9AE}" pid="4" name="commondata">
    <vt:lpwstr>eyJoZGlkIjoiYzg3MjA5M2IyNjQ3ZDNiNjZhYWZkMzE1NzdjY2UwMTgifQ==</vt:lpwstr>
  </property>
</Properties>
</file>