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auto"/>
        <w:spacing w:line="360" w:lineRule="auto"/>
        <w:rPr>
          <w:rFonts w:hint="eastAsia" w:ascii="宋体" w:hAnsi="宋体"/>
          <w:b/>
          <w:color w:val="000000"/>
          <w:sz w:val="44"/>
          <w:szCs w:val="44"/>
          <w:highlight w:val="none"/>
        </w:rPr>
      </w:pPr>
      <w:r>
        <w:rPr>
          <w:rFonts w:hint="eastAsia" w:ascii="宋体" w:hAnsi="宋体" w:eastAsia="宋体" w:cs="宋体"/>
          <w:sz w:val="28"/>
          <w:szCs w:val="28"/>
          <w:highlight w:val="none"/>
        </w:rPr>
        <w:drawing>
          <wp:inline distT="0" distB="0" distL="114300" distR="114300">
            <wp:extent cx="1604645" cy="1405890"/>
            <wp:effectExtent l="0" t="0" r="14605" b="3810"/>
            <wp:docPr id="1" name="图片 1" descr="LOGO_2345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_2345看图王"/>
                    <pic:cNvPicPr>
                      <a:picLocks noChangeAspect="1"/>
                    </pic:cNvPicPr>
                  </pic:nvPicPr>
                  <pic:blipFill>
                    <a:blip r:embed="rId17"/>
                    <a:stretch>
                      <a:fillRect/>
                    </a:stretch>
                  </pic:blipFill>
                  <pic:spPr>
                    <a:xfrm>
                      <a:off x="0" y="0"/>
                      <a:ext cx="1604645" cy="1405890"/>
                    </a:xfrm>
                    <a:prstGeom prst="rect">
                      <a:avLst/>
                    </a:prstGeom>
                    <a:noFill/>
                    <a:ln>
                      <a:noFill/>
                    </a:ln>
                  </pic:spPr>
                </pic:pic>
              </a:graphicData>
            </a:graphic>
          </wp:inline>
        </w:drawing>
      </w:r>
    </w:p>
    <w:p>
      <w:pPr>
        <w:shd w:val="clear" w:fill="auto"/>
        <w:spacing w:line="360" w:lineRule="auto"/>
        <w:jc w:val="center"/>
        <w:rPr>
          <w:rFonts w:hint="eastAsia" w:ascii="宋体" w:hAnsi="宋体"/>
          <w:b/>
          <w:bCs/>
          <w:color w:val="000000"/>
          <w:spacing w:val="20"/>
          <w:sz w:val="100"/>
          <w:szCs w:val="100"/>
          <w:highlight w:val="none"/>
        </w:rPr>
      </w:pPr>
    </w:p>
    <w:p>
      <w:pPr>
        <w:shd w:val="clear" w:fill="auto"/>
        <w:spacing w:line="360" w:lineRule="auto"/>
        <w:jc w:val="center"/>
        <w:rPr>
          <w:rFonts w:hint="eastAsia" w:ascii="宋体" w:hAnsi="宋体"/>
          <w:b/>
          <w:bCs/>
          <w:color w:val="000000"/>
          <w:spacing w:val="20"/>
          <w:sz w:val="100"/>
          <w:szCs w:val="100"/>
          <w:highlight w:val="none"/>
        </w:rPr>
      </w:pPr>
      <w:r>
        <w:rPr>
          <w:rFonts w:hint="eastAsia" w:ascii="宋体" w:hAnsi="宋体"/>
          <w:b/>
          <w:bCs/>
          <w:color w:val="000000"/>
          <w:spacing w:val="20"/>
          <w:sz w:val="100"/>
          <w:szCs w:val="100"/>
          <w:highlight w:val="none"/>
        </w:rPr>
        <w:t>招标文</w:t>
      </w:r>
      <w:bookmarkStart w:id="939" w:name="_GoBack"/>
      <w:bookmarkEnd w:id="939"/>
      <w:r>
        <w:rPr>
          <w:rFonts w:hint="eastAsia" w:ascii="宋体" w:hAnsi="宋体"/>
          <w:b/>
          <w:bCs/>
          <w:color w:val="000000"/>
          <w:spacing w:val="20"/>
          <w:sz w:val="100"/>
          <w:szCs w:val="100"/>
          <w:highlight w:val="none"/>
        </w:rPr>
        <w:t>件</w:t>
      </w:r>
    </w:p>
    <w:p>
      <w:pPr>
        <w:shd w:val="clear" w:fill="auto"/>
        <w:spacing w:line="360" w:lineRule="auto"/>
        <w:jc w:val="center"/>
        <w:rPr>
          <w:rFonts w:hint="eastAsia" w:ascii="宋体" w:hAnsi="宋体"/>
          <w:b/>
          <w:bCs/>
          <w:color w:val="000000"/>
          <w:szCs w:val="21"/>
          <w:highlight w:val="none"/>
        </w:rPr>
      </w:pPr>
      <w:r>
        <w:rPr>
          <w:rFonts w:hint="eastAsia" w:ascii="宋体" w:hAnsi="宋体"/>
          <w:b/>
          <w:bCs/>
          <w:color w:val="000000"/>
          <w:szCs w:val="21"/>
          <w:highlight w:val="none"/>
        </w:rPr>
        <w:t xml:space="preserve">  </w:t>
      </w:r>
    </w:p>
    <w:p>
      <w:pPr>
        <w:shd w:val="clear" w:fill="auto"/>
        <w:spacing w:line="360" w:lineRule="auto"/>
        <w:ind w:firstLine="904" w:firstLineChars="300"/>
        <w:rPr>
          <w:rFonts w:hint="eastAsia"/>
          <w:b/>
          <w:bCs/>
          <w:color w:val="000000"/>
          <w:sz w:val="30"/>
          <w:szCs w:val="30"/>
          <w:highlight w:val="none"/>
        </w:rPr>
      </w:pPr>
      <w:r>
        <w:rPr>
          <w:rFonts w:hint="eastAsia"/>
          <w:b/>
          <w:bCs/>
          <w:color w:val="000000"/>
          <w:sz w:val="30"/>
          <w:szCs w:val="30"/>
          <w:highlight w:val="none"/>
        </w:rPr>
        <w:t>项目名称：</w:t>
      </w:r>
      <w:r>
        <w:rPr>
          <w:rFonts w:hint="eastAsia"/>
          <w:b/>
          <w:bCs/>
          <w:color w:val="000000"/>
          <w:sz w:val="30"/>
          <w:szCs w:val="30"/>
          <w:highlight w:val="none"/>
          <w:lang w:eastAsia="zh-CN"/>
        </w:rPr>
        <w:t>郑州航空港经济综合实验区会展片区绿地整治工程</w:t>
      </w:r>
    </w:p>
    <w:p>
      <w:pPr>
        <w:shd w:val="clear" w:fill="auto"/>
        <w:spacing w:line="360" w:lineRule="auto"/>
        <w:ind w:firstLine="904" w:firstLineChars="300"/>
        <w:rPr>
          <w:rFonts w:hint="default"/>
          <w:b/>
          <w:bCs/>
          <w:color w:val="000000"/>
          <w:sz w:val="30"/>
          <w:szCs w:val="30"/>
          <w:highlight w:val="none"/>
          <w:lang w:val="en-US" w:eastAsia="zh-CN"/>
        </w:rPr>
      </w:pPr>
      <w:r>
        <w:rPr>
          <w:rFonts w:hint="eastAsia"/>
          <w:b/>
          <w:bCs/>
          <w:color w:val="000000"/>
          <w:sz w:val="30"/>
          <w:szCs w:val="30"/>
          <w:highlight w:val="none"/>
        </w:rPr>
        <w:t>项目编号：</w:t>
      </w:r>
    </w:p>
    <w:p>
      <w:pPr>
        <w:shd w:val="clear" w:fill="auto"/>
        <w:spacing w:line="360" w:lineRule="auto"/>
        <w:ind w:firstLine="904" w:firstLineChars="300"/>
        <w:rPr>
          <w:rFonts w:hint="eastAsia"/>
          <w:b/>
          <w:bCs/>
          <w:color w:val="000000"/>
          <w:sz w:val="30"/>
          <w:szCs w:val="30"/>
          <w:highlight w:val="none"/>
        </w:rPr>
      </w:pPr>
    </w:p>
    <w:p>
      <w:pPr>
        <w:shd w:val="clear" w:fill="auto"/>
        <w:spacing w:line="360" w:lineRule="auto"/>
        <w:jc w:val="center"/>
        <w:rPr>
          <w:rFonts w:hint="eastAsia"/>
          <w:b/>
          <w:bCs/>
          <w:color w:val="000000"/>
          <w:sz w:val="32"/>
          <w:highlight w:val="none"/>
        </w:rPr>
      </w:pPr>
      <w:r>
        <w:rPr>
          <w:rFonts w:hint="eastAsia"/>
          <w:b/>
          <w:bCs/>
          <w:color w:val="000000"/>
          <w:sz w:val="32"/>
          <w:highlight w:val="none"/>
        </w:rPr>
        <w:t xml:space="preserve">    </w:t>
      </w:r>
    </w:p>
    <w:p>
      <w:pPr>
        <w:shd w:val="clear" w:fill="auto"/>
        <w:spacing w:line="360" w:lineRule="auto"/>
        <w:jc w:val="center"/>
        <w:rPr>
          <w:rFonts w:hint="eastAsia" w:ascii="宋体" w:hAnsi="宋体"/>
          <w:b/>
          <w:bCs/>
          <w:color w:val="000000"/>
          <w:sz w:val="24"/>
          <w:highlight w:val="none"/>
        </w:rPr>
      </w:pPr>
    </w:p>
    <w:p>
      <w:pPr>
        <w:shd w:val="clear" w:fill="auto"/>
        <w:spacing w:line="360" w:lineRule="auto"/>
        <w:ind w:firstLine="1491" w:firstLineChars="495"/>
        <w:rPr>
          <w:rFonts w:hint="eastAsia"/>
          <w:b/>
          <w:bCs/>
          <w:color w:val="000000"/>
          <w:sz w:val="30"/>
          <w:szCs w:val="30"/>
          <w:highlight w:val="none"/>
        </w:rPr>
      </w:pPr>
    </w:p>
    <w:p>
      <w:pPr>
        <w:shd w:val="clear" w:fill="auto"/>
        <w:spacing w:line="360" w:lineRule="auto"/>
        <w:rPr>
          <w:rFonts w:hint="eastAsia"/>
          <w:b/>
          <w:bCs/>
          <w:color w:val="000000"/>
          <w:sz w:val="30"/>
          <w:szCs w:val="30"/>
          <w:highlight w:val="none"/>
        </w:rPr>
      </w:pPr>
    </w:p>
    <w:p>
      <w:pPr>
        <w:shd w:val="clear" w:fill="auto"/>
        <w:spacing w:line="360" w:lineRule="auto"/>
        <w:rPr>
          <w:rFonts w:hint="eastAsia"/>
          <w:b/>
          <w:bCs/>
          <w:color w:val="000000"/>
          <w:sz w:val="30"/>
          <w:szCs w:val="30"/>
          <w:highlight w:val="none"/>
        </w:rPr>
      </w:pPr>
    </w:p>
    <w:p>
      <w:pPr>
        <w:shd w:val="clear" w:fill="auto"/>
        <w:spacing w:line="360" w:lineRule="auto"/>
        <w:ind w:firstLine="1506" w:firstLineChars="500"/>
        <w:rPr>
          <w:rFonts w:hint="eastAsia"/>
          <w:b/>
          <w:bCs/>
          <w:color w:val="000000"/>
          <w:sz w:val="30"/>
          <w:szCs w:val="30"/>
          <w:highlight w:val="none"/>
          <w:lang w:eastAsia="zh-CN"/>
        </w:rPr>
      </w:pPr>
      <w:r>
        <w:rPr>
          <w:rFonts w:hint="eastAsia"/>
          <w:b/>
          <w:bCs/>
          <w:color w:val="000000"/>
          <w:sz w:val="30"/>
          <w:szCs w:val="30"/>
          <w:highlight w:val="none"/>
        </w:rPr>
        <w:t>招   标   人：</w:t>
      </w:r>
      <w:r>
        <w:rPr>
          <w:rFonts w:hint="eastAsia"/>
          <w:b/>
          <w:bCs/>
          <w:color w:val="000000"/>
          <w:sz w:val="30"/>
          <w:szCs w:val="30"/>
          <w:highlight w:val="none"/>
          <w:lang w:eastAsia="zh-CN"/>
        </w:rPr>
        <w:t>郑州航空港经济综合实验区综合行政执法局</w:t>
      </w:r>
    </w:p>
    <w:p>
      <w:pPr>
        <w:shd w:val="clear" w:fill="auto"/>
        <w:spacing w:line="360" w:lineRule="auto"/>
        <w:ind w:firstLine="3313" w:firstLineChars="1100"/>
        <w:rPr>
          <w:rFonts w:hint="eastAsia" w:eastAsia="宋体"/>
          <w:b/>
          <w:bCs/>
          <w:color w:val="000000"/>
          <w:sz w:val="30"/>
          <w:szCs w:val="30"/>
          <w:highlight w:val="none"/>
          <w:lang w:eastAsia="zh-CN"/>
        </w:rPr>
      </w:pPr>
      <w:r>
        <w:rPr>
          <w:rFonts w:hint="eastAsia"/>
          <w:b/>
          <w:bCs/>
          <w:color w:val="000000"/>
          <w:sz w:val="30"/>
          <w:szCs w:val="30"/>
          <w:highlight w:val="none"/>
          <w:lang w:eastAsia="zh-CN"/>
        </w:rPr>
        <w:t>（城市管理局）</w:t>
      </w:r>
    </w:p>
    <w:p>
      <w:pPr>
        <w:shd w:val="clear" w:fill="auto"/>
        <w:spacing w:line="360" w:lineRule="auto"/>
        <w:ind w:firstLine="1491" w:firstLineChars="495"/>
        <w:rPr>
          <w:rFonts w:hint="eastAsia"/>
          <w:b/>
          <w:bCs/>
          <w:color w:val="000000"/>
          <w:sz w:val="30"/>
          <w:szCs w:val="30"/>
          <w:highlight w:val="none"/>
        </w:rPr>
      </w:pPr>
      <w:r>
        <w:rPr>
          <w:rFonts w:hint="eastAsia"/>
          <w:b/>
          <w:bCs/>
          <w:color w:val="000000"/>
          <w:sz w:val="30"/>
          <w:szCs w:val="30"/>
          <w:highlight w:val="none"/>
        </w:rPr>
        <w:t>招标代理机构：大成工程咨询有限公司</w:t>
      </w:r>
    </w:p>
    <w:p>
      <w:pPr>
        <w:shd w:val="clear" w:fill="FFFFFF" w:themeFill="background1"/>
        <w:spacing w:line="360" w:lineRule="auto"/>
        <w:ind w:firstLine="1491" w:firstLineChars="495"/>
        <w:rPr>
          <w:rFonts w:hint="eastAsia"/>
          <w:b/>
          <w:bCs/>
          <w:color w:val="000000"/>
          <w:sz w:val="30"/>
          <w:szCs w:val="30"/>
          <w:highlight w:val="none"/>
        </w:rPr>
        <w:sectPr>
          <w:headerReference r:id="rId5" w:type="first"/>
          <w:headerReference r:id="rId3" w:type="default"/>
          <w:footerReference r:id="rId6" w:type="default"/>
          <w:headerReference r:id="rId4" w:type="even"/>
          <w:footerReference r:id="rId7" w:type="even"/>
          <w:pgSz w:w="11905" w:h="16838"/>
          <w:pgMar w:top="1247" w:right="1247" w:bottom="1247" w:left="1247" w:header="850" w:footer="992" w:gutter="0"/>
          <w:pgNumType w:start="1"/>
          <w:cols w:space="0" w:num="1"/>
          <w:titlePg/>
          <w:rtlGutter w:val="0"/>
          <w:docGrid w:type="lines" w:linePitch="319" w:charSpace="0"/>
        </w:sectPr>
      </w:pPr>
      <w:r>
        <w:rPr>
          <w:rFonts w:hint="eastAsia"/>
          <w:b/>
          <w:bCs/>
          <w:color w:val="000000"/>
          <w:sz w:val="30"/>
          <w:szCs w:val="30"/>
          <w:highlight w:val="none"/>
        </w:rPr>
        <w:t>日        期：二○</w:t>
      </w:r>
      <w:r>
        <w:rPr>
          <w:rFonts w:hint="eastAsia"/>
          <w:b/>
          <w:bCs/>
          <w:color w:val="000000"/>
          <w:sz w:val="30"/>
          <w:szCs w:val="30"/>
          <w:highlight w:val="none"/>
          <w:lang w:val="en-US" w:eastAsia="zh-CN"/>
        </w:rPr>
        <w:t>二四</w:t>
      </w:r>
      <w:r>
        <w:rPr>
          <w:rFonts w:hint="eastAsia"/>
          <w:b/>
          <w:bCs/>
          <w:color w:val="000000"/>
          <w:sz w:val="30"/>
          <w:szCs w:val="30"/>
          <w:highlight w:val="none"/>
        </w:rPr>
        <w:t>年</w:t>
      </w:r>
      <w:r>
        <w:rPr>
          <w:rFonts w:hint="eastAsia"/>
          <w:b/>
          <w:bCs/>
          <w:color w:val="000000"/>
          <w:sz w:val="30"/>
          <w:szCs w:val="30"/>
          <w:highlight w:val="none"/>
          <w:lang w:eastAsia="zh-CN"/>
        </w:rPr>
        <w:t>四</w:t>
      </w:r>
      <w:r>
        <w:rPr>
          <w:rFonts w:hint="eastAsia"/>
          <w:b/>
          <w:bCs/>
          <w:color w:val="000000"/>
          <w:sz w:val="30"/>
          <w:szCs w:val="30"/>
          <w:highlight w:val="none"/>
        </w:rPr>
        <w:t>月</w:t>
      </w:r>
    </w:p>
    <w:p>
      <w:pPr>
        <w:shd w:val="clear" w:fill="auto"/>
        <w:autoSpaceDE w:val="0"/>
        <w:autoSpaceDN w:val="0"/>
        <w:adjustRightInd w:val="0"/>
        <w:jc w:val="center"/>
        <w:rPr>
          <w:rFonts w:hint="eastAsia" w:ascii="宋体" w:hAnsi="宋体" w:cs="黑体"/>
          <w:color w:val="000000"/>
          <w:kern w:val="0"/>
          <w:sz w:val="32"/>
          <w:szCs w:val="32"/>
          <w:highlight w:val="none"/>
        </w:rPr>
      </w:pPr>
      <w:r>
        <w:rPr>
          <w:rFonts w:hint="eastAsia" w:ascii="宋体" w:hAnsi="宋体" w:cs="TimesNewRomanPSMT"/>
          <w:b/>
          <w:color w:val="000000"/>
          <w:kern w:val="0"/>
          <w:sz w:val="32"/>
          <w:szCs w:val="32"/>
          <w:highlight w:val="none"/>
        </w:rPr>
        <w:t>目    录</w:t>
      </w:r>
    </w:p>
    <w:p>
      <w:pPr>
        <w:pStyle w:val="22"/>
        <w:tabs>
          <w:tab w:val="right" w:leader="dot" w:pos="9411"/>
        </w:tabs>
      </w:pPr>
      <w:r>
        <w:rPr>
          <w:rFonts w:hint="eastAsia" w:ascii="宋体" w:hAnsi="宋体" w:eastAsia="宋体" w:cs="宋体"/>
          <w:b w:val="0"/>
          <w:bCs w:val="0"/>
          <w:i w:val="0"/>
          <w:iCs w:val="0"/>
          <w:caps w:val="0"/>
          <w:color w:val="000000"/>
          <w:sz w:val="21"/>
          <w:szCs w:val="21"/>
          <w:highlight w:val="none"/>
        </w:rPr>
        <w:fldChar w:fldCharType="begin"/>
      </w:r>
      <w:r>
        <w:rPr>
          <w:rFonts w:hint="eastAsia" w:ascii="宋体" w:hAnsi="宋体" w:eastAsia="宋体" w:cs="宋体"/>
          <w:b w:val="0"/>
          <w:bCs w:val="0"/>
          <w:i w:val="0"/>
          <w:iCs w:val="0"/>
          <w:caps w:val="0"/>
          <w:color w:val="000000"/>
          <w:sz w:val="21"/>
          <w:szCs w:val="21"/>
          <w:highlight w:val="none"/>
        </w:rPr>
        <w:instrText xml:space="preserve"> TOC \o "1-4" \h \z \u </w:instrText>
      </w:r>
      <w:r>
        <w:rPr>
          <w:rFonts w:hint="eastAsia" w:ascii="宋体" w:hAnsi="宋体" w:eastAsia="宋体" w:cs="宋体"/>
          <w:b w:val="0"/>
          <w:bCs w:val="0"/>
          <w:i w:val="0"/>
          <w:iCs w:val="0"/>
          <w:caps w:val="0"/>
          <w:color w:val="000000"/>
          <w:sz w:val="21"/>
          <w:szCs w:val="21"/>
          <w:highlight w:val="none"/>
        </w:rPr>
        <w:fldChar w:fldCharType="separate"/>
      </w: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_Toc32653 </w:instrText>
      </w:r>
      <w:r>
        <w:rPr>
          <w:rFonts w:hint="eastAsia" w:ascii="宋体" w:hAnsi="宋体" w:eastAsia="宋体" w:cs="宋体"/>
          <w:bCs w:val="0"/>
          <w:i w:val="0"/>
          <w:iCs w:val="0"/>
          <w:caps/>
          <w:kern w:val="2"/>
          <w:szCs w:val="21"/>
          <w:highlight w:val="none"/>
        </w:rPr>
        <w:fldChar w:fldCharType="separate"/>
      </w:r>
      <w:r>
        <w:rPr>
          <w:rFonts w:hint="eastAsia" w:ascii="宋体" w:hAnsi="宋体"/>
          <w:szCs w:val="32"/>
          <w:highlight w:val="none"/>
        </w:rPr>
        <w:t>第一章  招标公告</w:t>
      </w:r>
      <w:r>
        <w:tab/>
      </w:r>
      <w:r>
        <w:fldChar w:fldCharType="begin"/>
      </w:r>
      <w:r>
        <w:instrText xml:space="preserve"> PAGEREF _Toc32653 \h </w:instrText>
      </w:r>
      <w:r>
        <w:fldChar w:fldCharType="separate"/>
      </w:r>
      <w:r>
        <w:t>1</w:t>
      </w:r>
      <w:r>
        <w:fldChar w:fldCharType="end"/>
      </w:r>
      <w:r>
        <w:rPr>
          <w:rFonts w:hint="eastAsia" w:ascii="宋体" w:hAnsi="宋体" w:eastAsia="宋体" w:cs="宋体"/>
          <w:bCs w:val="0"/>
          <w:i w:val="0"/>
          <w:iCs w:val="0"/>
          <w:caps/>
          <w:color w:val="000000"/>
          <w:kern w:val="2"/>
          <w:szCs w:val="21"/>
          <w:highlight w:val="none"/>
        </w:rPr>
        <w:fldChar w:fldCharType="end"/>
      </w:r>
    </w:p>
    <w:p>
      <w:pPr>
        <w:pStyle w:val="22"/>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_Toc17524 </w:instrText>
      </w:r>
      <w:r>
        <w:rPr>
          <w:rFonts w:hint="eastAsia" w:ascii="宋体" w:hAnsi="宋体" w:eastAsia="宋体" w:cs="宋体"/>
          <w:bCs w:val="0"/>
          <w:i w:val="0"/>
          <w:iCs w:val="0"/>
          <w:caps/>
          <w:kern w:val="2"/>
          <w:szCs w:val="21"/>
          <w:highlight w:val="none"/>
        </w:rPr>
        <w:fldChar w:fldCharType="separate"/>
      </w:r>
      <w:r>
        <w:rPr>
          <w:rFonts w:hint="eastAsia" w:ascii="宋体" w:hAnsi="宋体"/>
          <w:szCs w:val="32"/>
          <w:highlight w:val="none"/>
        </w:rPr>
        <w:t>第二章 投标人须知</w:t>
      </w:r>
      <w:r>
        <w:tab/>
      </w:r>
      <w:r>
        <w:fldChar w:fldCharType="begin"/>
      </w:r>
      <w:r>
        <w:instrText xml:space="preserve"> PAGEREF _Toc17524 \h </w:instrText>
      </w:r>
      <w:r>
        <w:fldChar w:fldCharType="separate"/>
      </w:r>
      <w:r>
        <w:t>4</w:t>
      </w:r>
      <w:r>
        <w:fldChar w:fldCharType="end"/>
      </w:r>
      <w:r>
        <w:rPr>
          <w:rFonts w:hint="eastAsia" w:ascii="宋体" w:hAnsi="宋体" w:eastAsia="宋体" w:cs="宋体"/>
          <w:bCs w:val="0"/>
          <w:i w:val="0"/>
          <w:iCs w:val="0"/>
          <w:caps/>
          <w:color w:val="000000"/>
          <w:kern w:val="2"/>
          <w:szCs w:val="21"/>
          <w:highlight w:val="none"/>
        </w:rPr>
        <w:fldChar w:fldCharType="end"/>
      </w:r>
    </w:p>
    <w:p>
      <w:pPr>
        <w:pStyle w:val="23"/>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_Toc15965 </w:instrText>
      </w:r>
      <w:r>
        <w:rPr>
          <w:rFonts w:hint="eastAsia" w:ascii="宋体" w:hAnsi="宋体" w:eastAsia="宋体" w:cs="宋体"/>
          <w:bCs w:val="0"/>
          <w:i w:val="0"/>
          <w:iCs w:val="0"/>
          <w:caps/>
          <w:kern w:val="2"/>
          <w:szCs w:val="21"/>
          <w:highlight w:val="none"/>
        </w:rPr>
        <w:fldChar w:fldCharType="separate"/>
      </w:r>
      <w:r>
        <w:rPr>
          <w:rFonts w:hint="eastAsia" w:ascii="宋体" w:hAnsi="宋体" w:eastAsia="宋体" w:cs="宋体"/>
          <w:kern w:val="0"/>
          <w:szCs w:val="20"/>
          <w:highlight w:val="none"/>
        </w:rPr>
        <w:t>1. 总则</w:t>
      </w:r>
      <w:r>
        <w:tab/>
      </w:r>
      <w:r>
        <w:fldChar w:fldCharType="begin"/>
      </w:r>
      <w:r>
        <w:instrText xml:space="preserve"> PAGEREF _Toc15965 \h </w:instrText>
      </w:r>
      <w:r>
        <w:fldChar w:fldCharType="separate"/>
      </w:r>
      <w:r>
        <w:t>13</w:t>
      </w:r>
      <w:r>
        <w:fldChar w:fldCharType="end"/>
      </w:r>
      <w:r>
        <w:rPr>
          <w:rFonts w:hint="eastAsia" w:ascii="宋体" w:hAnsi="宋体" w:eastAsia="宋体" w:cs="宋体"/>
          <w:bCs w:val="0"/>
          <w:i w:val="0"/>
          <w:iCs w:val="0"/>
          <w:caps/>
          <w:color w:val="000000"/>
          <w:kern w:val="2"/>
          <w:szCs w:val="21"/>
          <w:highlight w:val="none"/>
        </w:rPr>
        <w:fldChar w:fldCharType="end"/>
      </w:r>
    </w:p>
    <w:p>
      <w:pPr>
        <w:pStyle w:val="23"/>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_Toc2293 </w:instrText>
      </w:r>
      <w:r>
        <w:rPr>
          <w:rFonts w:hint="eastAsia" w:ascii="宋体" w:hAnsi="宋体" w:eastAsia="宋体" w:cs="宋体"/>
          <w:bCs w:val="0"/>
          <w:i w:val="0"/>
          <w:iCs w:val="0"/>
          <w:caps/>
          <w:kern w:val="2"/>
          <w:szCs w:val="21"/>
          <w:highlight w:val="none"/>
        </w:rPr>
        <w:fldChar w:fldCharType="separate"/>
      </w:r>
      <w:r>
        <w:rPr>
          <w:rFonts w:hint="eastAsia" w:ascii="宋体" w:hAnsi="宋体" w:eastAsia="宋体" w:cs="宋体"/>
          <w:kern w:val="0"/>
          <w:szCs w:val="21"/>
          <w:highlight w:val="none"/>
        </w:rPr>
        <w:t>2. 招标文件</w:t>
      </w:r>
      <w:r>
        <w:tab/>
      </w:r>
      <w:r>
        <w:fldChar w:fldCharType="begin"/>
      </w:r>
      <w:r>
        <w:instrText xml:space="preserve"> PAGEREF _Toc2293 \h </w:instrText>
      </w:r>
      <w:r>
        <w:fldChar w:fldCharType="separate"/>
      </w:r>
      <w:r>
        <w:t>15</w:t>
      </w:r>
      <w:r>
        <w:fldChar w:fldCharType="end"/>
      </w:r>
      <w:r>
        <w:rPr>
          <w:rFonts w:hint="eastAsia" w:ascii="宋体" w:hAnsi="宋体" w:eastAsia="宋体" w:cs="宋体"/>
          <w:bCs w:val="0"/>
          <w:i w:val="0"/>
          <w:iCs w:val="0"/>
          <w:caps/>
          <w:color w:val="000000"/>
          <w:kern w:val="2"/>
          <w:szCs w:val="21"/>
          <w:highlight w:val="none"/>
        </w:rPr>
        <w:fldChar w:fldCharType="end"/>
      </w:r>
    </w:p>
    <w:p>
      <w:pPr>
        <w:pStyle w:val="23"/>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_Toc2468 </w:instrText>
      </w:r>
      <w:r>
        <w:rPr>
          <w:rFonts w:hint="eastAsia" w:ascii="宋体" w:hAnsi="宋体" w:eastAsia="宋体" w:cs="宋体"/>
          <w:bCs w:val="0"/>
          <w:i w:val="0"/>
          <w:iCs w:val="0"/>
          <w:caps/>
          <w:kern w:val="2"/>
          <w:szCs w:val="21"/>
          <w:highlight w:val="none"/>
        </w:rPr>
        <w:fldChar w:fldCharType="separate"/>
      </w:r>
      <w:r>
        <w:rPr>
          <w:rFonts w:hint="eastAsia" w:ascii="宋体" w:hAnsi="宋体" w:eastAsia="宋体" w:cs="宋体"/>
          <w:kern w:val="0"/>
          <w:szCs w:val="21"/>
          <w:highlight w:val="none"/>
        </w:rPr>
        <w:t>3. 投标文件</w:t>
      </w:r>
      <w:r>
        <w:tab/>
      </w:r>
      <w:r>
        <w:fldChar w:fldCharType="begin"/>
      </w:r>
      <w:r>
        <w:instrText xml:space="preserve"> PAGEREF _Toc2468 \h </w:instrText>
      </w:r>
      <w:r>
        <w:fldChar w:fldCharType="separate"/>
      </w:r>
      <w:r>
        <w:t>16</w:t>
      </w:r>
      <w:r>
        <w:fldChar w:fldCharType="end"/>
      </w:r>
      <w:r>
        <w:rPr>
          <w:rFonts w:hint="eastAsia" w:ascii="宋体" w:hAnsi="宋体" w:eastAsia="宋体" w:cs="宋体"/>
          <w:bCs w:val="0"/>
          <w:i w:val="0"/>
          <w:iCs w:val="0"/>
          <w:caps/>
          <w:color w:val="000000"/>
          <w:kern w:val="2"/>
          <w:szCs w:val="21"/>
          <w:highlight w:val="none"/>
        </w:rPr>
        <w:fldChar w:fldCharType="end"/>
      </w:r>
    </w:p>
    <w:p>
      <w:pPr>
        <w:pStyle w:val="23"/>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_Toc2535 </w:instrText>
      </w:r>
      <w:r>
        <w:rPr>
          <w:rFonts w:hint="eastAsia" w:ascii="宋体" w:hAnsi="宋体" w:eastAsia="宋体" w:cs="宋体"/>
          <w:bCs w:val="0"/>
          <w:i w:val="0"/>
          <w:iCs w:val="0"/>
          <w:caps/>
          <w:kern w:val="2"/>
          <w:szCs w:val="21"/>
          <w:highlight w:val="none"/>
        </w:rPr>
        <w:fldChar w:fldCharType="separate"/>
      </w:r>
      <w:r>
        <w:rPr>
          <w:rFonts w:hint="eastAsia" w:ascii="宋体" w:hAnsi="宋体" w:eastAsia="宋体" w:cs="宋体"/>
          <w:kern w:val="0"/>
          <w:szCs w:val="21"/>
          <w:highlight w:val="none"/>
        </w:rPr>
        <w:t>4. 投标</w:t>
      </w:r>
      <w:r>
        <w:tab/>
      </w:r>
      <w:r>
        <w:fldChar w:fldCharType="begin"/>
      </w:r>
      <w:r>
        <w:instrText xml:space="preserve"> PAGEREF _Toc2535 \h </w:instrText>
      </w:r>
      <w:r>
        <w:fldChar w:fldCharType="separate"/>
      </w:r>
      <w:r>
        <w:t>18</w:t>
      </w:r>
      <w:r>
        <w:fldChar w:fldCharType="end"/>
      </w:r>
      <w:r>
        <w:rPr>
          <w:rFonts w:hint="eastAsia" w:ascii="宋体" w:hAnsi="宋体" w:eastAsia="宋体" w:cs="宋体"/>
          <w:bCs w:val="0"/>
          <w:i w:val="0"/>
          <w:iCs w:val="0"/>
          <w:caps/>
          <w:color w:val="000000"/>
          <w:kern w:val="2"/>
          <w:szCs w:val="21"/>
          <w:highlight w:val="none"/>
        </w:rPr>
        <w:fldChar w:fldCharType="end"/>
      </w:r>
    </w:p>
    <w:p>
      <w:pPr>
        <w:pStyle w:val="23"/>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_Toc22299 </w:instrText>
      </w:r>
      <w:r>
        <w:rPr>
          <w:rFonts w:hint="eastAsia" w:ascii="宋体" w:hAnsi="宋体" w:eastAsia="宋体" w:cs="宋体"/>
          <w:bCs w:val="0"/>
          <w:i w:val="0"/>
          <w:iCs w:val="0"/>
          <w:caps/>
          <w:kern w:val="2"/>
          <w:szCs w:val="21"/>
          <w:highlight w:val="none"/>
        </w:rPr>
        <w:fldChar w:fldCharType="separate"/>
      </w:r>
      <w:r>
        <w:rPr>
          <w:rFonts w:hint="eastAsia" w:ascii="宋体" w:hAnsi="宋体" w:eastAsia="宋体" w:cs="宋体"/>
          <w:kern w:val="0"/>
          <w:szCs w:val="21"/>
          <w:highlight w:val="none"/>
        </w:rPr>
        <w:t>5. 开标</w:t>
      </w:r>
      <w:r>
        <w:tab/>
      </w:r>
      <w:r>
        <w:fldChar w:fldCharType="begin"/>
      </w:r>
      <w:r>
        <w:instrText xml:space="preserve"> PAGEREF _Toc22299 \h </w:instrText>
      </w:r>
      <w:r>
        <w:fldChar w:fldCharType="separate"/>
      </w:r>
      <w:r>
        <w:t>18</w:t>
      </w:r>
      <w:r>
        <w:fldChar w:fldCharType="end"/>
      </w:r>
      <w:r>
        <w:rPr>
          <w:rFonts w:hint="eastAsia" w:ascii="宋体" w:hAnsi="宋体" w:eastAsia="宋体" w:cs="宋体"/>
          <w:bCs w:val="0"/>
          <w:i w:val="0"/>
          <w:iCs w:val="0"/>
          <w:caps/>
          <w:color w:val="000000"/>
          <w:kern w:val="2"/>
          <w:szCs w:val="21"/>
          <w:highlight w:val="none"/>
        </w:rPr>
        <w:fldChar w:fldCharType="end"/>
      </w:r>
    </w:p>
    <w:p>
      <w:pPr>
        <w:pStyle w:val="23"/>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_Toc18099 </w:instrText>
      </w:r>
      <w:r>
        <w:rPr>
          <w:rFonts w:hint="eastAsia" w:ascii="宋体" w:hAnsi="宋体" w:eastAsia="宋体" w:cs="宋体"/>
          <w:bCs w:val="0"/>
          <w:i w:val="0"/>
          <w:iCs w:val="0"/>
          <w:caps/>
          <w:kern w:val="2"/>
          <w:szCs w:val="21"/>
          <w:highlight w:val="none"/>
        </w:rPr>
        <w:fldChar w:fldCharType="separate"/>
      </w:r>
      <w:r>
        <w:rPr>
          <w:rFonts w:hint="eastAsia" w:ascii="宋体" w:hAnsi="宋体" w:eastAsia="宋体" w:cs="宋体"/>
          <w:kern w:val="0"/>
          <w:szCs w:val="21"/>
          <w:highlight w:val="none"/>
        </w:rPr>
        <w:t>6. 评标</w:t>
      </w:r>
      <w:r>
        <w:tab/>
      </w:r>
      <w:r>
        <w:fldChar w:fldCharType="begin"/>
      </w:r>
      <w:r>
        <w:instrText xml:space="preserve"> PAGEREF _Toc18099 \h </w:instrText>
      </w:r>
      <w:r>
        <w:fldChar w:fldCharType="separate"/>
      </w:r>
      <w:r>
        <w:t>18</w:t>
      </w:r>
      <w:r>
        <w:fldChar w:fldCharType="end"/>
      </w:r>
      <w:r>
        <w:rPr>
          <w:rFonts w:hint="eastAsia" w:ascii="宋体" w:hAnsi="宋体" w:eastAsia="宋体" w:cs="宋体"/>
          <w:bCs w:val="0"/>
          <w:i w:val="0"/>
          <w:iCs w:val="0"/>
          <w:caps/>
          <w:color w:val="000000"/>
          <w:kern w:val="2"/>
          <w:szCs w:val="21"/>
          <w:highlight w:val="none"/>
        </w:rPr>
        <w:fldChar w:fldCharType="end"/>
      </w:r>
    </w:p>
    <w:p>
      <w:pPr>
        <w:pStyle w:val="23"/>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_Toc28350 </w:instrText>
      </w:r>
      <w:r>
        <w:rPr>
          <w:rFonts w:hint="eastAsia" w:ascii="宋体" w:hAnsi="宋体" w:eastAsia="宋体" w:cs="宋体"/>
          <w:bCs w:val="0"/>
          <w:i w:val="0"/>
          <w:iCs w:val="0"/>
          <w:caps/>
          <w:kern w:val="2"/>
          <w:szCs w:val="21"/>
          <w:highlight w:val="none"/>
        </w:rPr>
        <w:fldChar w:fldCharType="separate"/>
      </w:r>
      <w:r>
        <w:rPr>
          <w:rFonts w:hint="eastAsia" w:ascii="宋体" w:hAnsi="宋体" w:eastAsia="宋体" w:cs="宋体"/>
          <w:kern w:val="0"/>
          <w:szCs w:val="21"/>
          <w:highlight w:val="none"/>
        </w:rPr>
        <w:t>7. 合同授予</w:t>
      </w:r>
      <w:r>
        <w:tab/>
      </w:r>
      <w:r>
        <w:fldChar w:fldCharType="begin"/>
      </w:r>
      <w:r>
        <w:instrText xml:space="preserve"> PAGEREF _Toc28350 \h </w:instrText>
      </w:r>
      <w:r>
        <w:fldChar w:fldCharType="separate"/>
      </w:r>
      <w:r>
        <w:t>19</w:t>
      </w:r>
      <w:r>
        <w:fldChar w:fldCharType="end"/>
      </w:r>
      <w:r>
        <w:rPr>
          <w:rFonts w:hint="eastAsia" w:ascii="宋体" w:hAnsi="宋体" w:eastAsia="宋体" w:cs="宋体"/>
          <w:bCs w:val="0"/>
          <w:i w:val="0"/>
          <w:iCs w:val="0"/>
          <w:caps/>
          <w:color w:val="000000"/>
          <w:kern w:val="2"/>
          <w:szCs w:val="21"/>
          <w:highlight w:val="none"/>
        </w:rPr>
        <w:fldChar w:fldCharType="end"/>
      </w:r>
    </w:p>
    <w:p>
      <w:pPr>
        <w:pStyle w:val="23"/>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_Toc23764 </w:instrText>
      </w:r>
      <w:r>
        <w:rPr>
          <w:rFonts w:hint="eastAsia" w:ascii="宋体" w:hAnsi="宋体" w:eastAsia="宋体" w:cs="宋体"/>
          <w:bCs w:val="0"/>
          <w:i w:val="0"/>
          <w:iCs w:val="0"/>
          <w:caps/>
          <w:kern w:val="2"/>
          <w:szCs w:val="21"/>
          <w:highlight w:val="none"/>
        </w:rPr>
        <w:fldChar w:fldCharType="separate"/>
      </w:r>
      <w:r>
        <w:rPr>
          <w:rFonts w:hint="eastAsia" w:ascii="宋体" w:hAnsi="宋体" w:eastAsia="宋体" w:cs="宋体"/>
          <w:kern w:val="0"/>
          <w:szCs w:val="21"/>
          <w:highlight w:val="none"/>
        </w:rPr>
        <w:t>8. 重新招标和不再招标</w:t>
      </w:r>
      <w:r>
        <w:tab/>
      </w:r>
      <w:r>
        <w:fldChar w:fldCharType="begin"/>
      </w:r>
      <w:r>
        <w:instrText xml:space="preserve"> PAGEREF _Toc23764 \h </w:instrText>
      </w:r>
      <w:r>
        <w:fldChar w:fldCharType="separate"/>
      </w:r>
      <w:r>
        <w:t>20</w:t>
      </w:r>
      <w:r>
        <w:fldChar w:fldCharType="end"/>
      </w:r>
      <w:r>
        <w:rPr>
          <w:rFonts w:hint="eastAsia" w:ascii="宋体" w:hAnsi="宋体" w:eastAsia="宋体" w:cs="宋体"/>
          <w:bCs w:val="0"/>
          <w:i w:val="0"/>
          <w:iCs w:val="0"/>
          <w:caps/>
          <w:color w:val="000000"/>
          <w:kern w:val="2"/>
          <w:szCs w:val="21"/>
          <w:highlight w:val="none"/>
        </w:rPr>
        <w:fldChar w:fldCharType="end"/>
      </w:r>
    </w:p>
    <w:p>
      <w:pPr>
        <w:pStyle w:val="23"/>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_Toc16350 </w:instrText>
      </w:r>
      <w:r>
        <w:rPr>
          <w:rFonts w:hint="eastAsia" w:ascii="宋体" w:hAnsi="宋体" w:eastAsia="宋体" w:cs="宋体"/>
          <w:bCs w:val="0"/>
          <w:i w:val="0"/>
          <w:iCs w:val="0"/>
          <w:caps/>
          <w:kern w:val="2"/>
          <w:szCs w:val="21"/>
          <w:highlight w:val="none"/>
        </w:rPr>
        <w:fldChar w:fldCharType="separate"/>
      </w:r>
      <w:r>
        <w:rPr>
          <w:rFonts w:hint="eastAsia" w:ascii="宋体" w:hAnsi="宋体" w:eastAsia="宋体" w:cs="宋体"/>
          <w:kern w:val="0"/>
          <w:szCs w:val="21"/>
          <w:highlight w:val="none"/>
        </w:rPr>
        <w:t>9. 纪律和监督</w:t>
      </w:r>
      <w:r>
        <w:tab/>
      </w:r>
      <w:r>
        <w:fldChar w:fldCharType="begin"/>
      </w:r>
      <w:r>
        <w:instrText xml:space="preserve"> PAGEREF _Toc16350 \h </w:instrText>
      </w:r>
      <w:r>
        <w:fldChar w:fldCharType="separate"/>
      </w:r>
      <w:r>
        <w:t>20</w:t>
      </w:r>
      <w:r>
        <w:fldChar w:fldCharType="end"/>
      </w:r>
      <w:r>
        <w:rPr>
          <w:rFonts w:hint="eastAsia" w:ascii="宋体" w:hAnsi="宋体" w:eastAsia="宋体" w:cs="宋体"/>
          <w:bCs w:val="0"/>
          <w:i w:val="0"/>
          <w:iCs w:val="0"/>
          <w:caps/>
          <w:color w:val="000000"/>
          <w:kern w:val="2"/>
          <w:szCs w:val="21"/>
          <w:highlight w:val="none"/>
        </w:rPr>
        <w:fldChar w:fldCharType="end"/>
      </w:r>
    </w:p>
    <w:p>
      <w:pPr>
        <w:pStyle w:val="23"/>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_Toc12048 </w:instrText>
      </w:r>
      <w:r>
        <w:rPr>
          <w:rFonts w:hint="eastAsia" w:ascii="宋体" w:hAnsi="宋体" w:eastAsia="宋体" w:cs="宋体"/>
          <w:bCs w:val="0"/>
          <w:i w:val="0"/>
          <w:iCs w:val="0"/>
          <w:caps/>
          <w:kern w:val="2"/>
          <w:szCs w:val="21"/>
          <w:highlight w:val="none"/>
        </w:rPr>
        <w:fldChar w:fldCharType="separate"/>
      </w:r>
      <w:r>
        <w:rPr>
          <w:rFonts w:hint="eastAsia" w:ascii="宋体" w:hAnsi="宋体" w:eastAsia="宋体" w:cs="宋体"/>
          <w:kern w:val="0"/>
          <w:szCs w:val="21"/>
          <w:highlight w:val="none"/>
        </w:rPr>
        <w:t>10. 需要补充的其他内容</w:t>
      </w:r>
      <w:r>
        <w:tab/>
      </w:r>
      <w:r>
        <w:fldChar w:fldCharType="begin"/>
      </w:r>
      <w:r>
        <w:instrText xml:space="preserve"> PAGEREF _Toc12048 \h </w:instrText>
      </w:r>
      <w:r>
        <w:fldChar w:fldCharType="separate"/>
      </w:r>
      <w:r>
        <w:t>20</w:t>
      </w:r>
      <w:r>
        <w:fldChar w:fldCharType="end"/>
      </w:r>
      <w:r>
        <w:rPr>
          <w:rFonts w:hint="eastAsia" w:ascii="宋体" w:hAnsi="宋体" w:eastAsia="宋体" w:cs="宋体"/>
          <w:bCs w:val="0"/>
          <w:i w:val="0"/>
          <w:iCs w:val="0"/>
          <w:caps/>
          <w:color w:val="000000"/>
          <w:kern w:val="2"/>
          <w:szCs w:val="21"/>
          <w:highlight w:val="none"/>
        </w:rPr>
        <w:fldChar w:fldCharType="end"/>
      </w:r>
    </w:p>
    <w:p>
      <w:pPr>
        <w:pStyle w:val="22"/>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_Toc30710 </w:instrText>
      </w:r>
      <w:r>
        <w:rPr>
          <w:rFonts w:hint="eastAsia" w:ascii="宋体" w:hAnsi="宋体" w:eastAsia="宋体" w:cs="宋体"/>
          <w:bCs w:val="0"/>
          <w:i w:val="0"/>
          <w:iCs w:val="0"/>
          <w:caps/>
          <w:kern w:val="2"/>
          <w:szCs w:val="21"/>
          <w:highlight w:val="none"/>
        </w:rPr>
        <w:fldChar w:fldCharType="separate"/>
      </w:r>
      <w:r>
        <w:rPr>
          <w:rFonts w:hint="eastAsia"/>
          <w:szCs w:val="32"/>
          <w:highlight w:val="none"/>
        </w:rPr>
        <w:t>第三章 评标办法（综合评估法）</w:t>
      </w:r>
      <w:r>
        <w:tab/>
      </w:r>
      <w:r>
        <w:fldChar w:fldCharType="begin"/>
      </w:r>
      <w:r>
        <w:instrText xml:space="preserve"> PAGEREF _Toc30710 \h </w:instrText>
      </w:r>
      <w:r>
        <w:fldChar w:fldCharType="separate"/>
      </w:r>
      <w:r>
        <w:t>24</w:t>
      </w:r>
      <w:r>
        <w:fldChar w:fldCharType="end"/>
      </w:r>
      <w:r>
        <w:rPr>
          <w:rFonts w:hint="eastAsia" w:ascii="宋体" w:hAnsi="宋体" w:eastAsia="宋体" w:cs="宋体"/>
          <w:bCs w:val="0"/>
          <w:i w:val="0"/>
          <w:iCs w:val="0"/>
          <w:caps/>
          <w:color w:val="000000"/>
          <w:kern w:val="2"/>
          <w:szCs w:val="21"/>
          <w:highlight w:val="none"/>
        </w:rPr>
        <w:fldChar w:fldCharType="end"/>
      </w:r>
    </w:p>
    <w:p>
      <w:pPr>
        <w:pStyle w:val="22"/>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_Toc31614 </w:instrText>
      </w:r>
      <w:r>
        <w:rPr>
          <w:rFonts w:hint="eastAsia" w:ascii="宋体" w:hAnsi="宋体" w:eastAsia="宋体" w:cs="宋体"/>
          <w:bCs w:val="0"/>
          <w:i w:val="0"/>
          <w:iCs w:val="0"/>
          <w:caps/>
          <w:kern w:val="2"/>
          <w:szCs w:val="21"/>
          <w:highlight w:val="none"/>
        </w:rPr>
        <w:fldChar w:fldCharType="separate"/>
      </w:r>
      <w:r>
        <w:rPr>
          <w:rFonts w:hint="eastAsia"/>
          <w:szCs w:val="32"/>
          <w:highlight w:val="none"/>
          <w:lang w:eastAsia="zh-CN"/>
        </w:rPr>
        <w:t>第四章</w:t>
      </w:r>
      <w:r>
        <w:rPr>
          <w:rFonts w:hint="eastAsia"/>
          <w:szCs w:val="32"/>
          <w:highlight w:val="none"/>
          <w:lang w:val="en-US" w:eastAsia="zh-CN"/>
        </w:rPr>
        <w:t xml:space="preserve"> </w:t>
      </w:r>
      <w:r>
        <w:rPr>
          <w:rFonts w:hint="eastAsia"/>
          <w:szCs w:val="32"/>
          <w:highlight w:val="none"/>
        </w:rPr>
        <w:t>定标办法</w:t>
      </w:r>
      <w:r>
        <w:tab/>
      </w:r>
      <w:r>
        <w:fldChar w:fldCharType="begin"/>
      </w:r>
      <w:r>
        <w:instrText xml:space="preserve"> PAGEREF _Toc31614 \h </w:instrText>
      </w:r>
      <w:r>
        <w:fldChar w:fldCharType="separate"/>
      </w:r>
      <w:r>
        <w:t>33</w:t>
      </w:r>
      <w:r>
        <w:fldChar w:fldCharType="end"/>
      </w:r>
      <w:r>
        <w:rPr>
          <w:rFonts w:hint="eastAsia" w:ascii="宋体" w:hAnsi="宋体" w:eastAsia="宋体" w:cs="宋体"/>
          <w:bCs w:val="0"/>
          <w:i w:val="0"/>
          <w:iCs w:val="0"/>
          <w:caps/>
          <w:color w:val="000000"/>
          <w:kern w:val="2"/>
          <w:szCs w:val="21"/>
          <w:highlight w:val="none"/>
        </w:rPr>
        <w:fldChar w:fldCharType="end"/>
      </w:r>
    </w:p>
    <w:p>
      <w:pPr>
        <w:pStyle w:val="22"/>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_Toc12584 </w:instrText>
      </w:r>
      <w:r>
        <w:rPr>
          <w:rFonts w:hint="eastAsia" w:ascii="宋体" w:hAnsi="宋体" w:eastAsia="宋体" w:cs="宋体"/>
          <w:bCs w:val="0"/>
          <w:i w:val="0"/>
          <w:iCs w:val="0"/>
          <w:caps/>
          <w:kern w:val="2"/>
          <w:szCs w:val="21"/>
          <w:highlight w:val="none"/>
        </w:rPr>
        <w:fldChar w:fldCharType="separate"/>
      </w:r>
      <w:r>
        <w:rPr>
          <w:rFonts w:hint="eastAsia" w:ascii="宋体" w:hAnsi="宋体" w:eastAsia="宋体" w:cs="Times New Roman"/>
          <w:szCs w:val="32"/>
          <w:highlight w:val="none"/>
        </w:rPr>
        <w:t>第</w:t>
      </w:r>
      <w:r>
        <w:rPr>
          <w:rFonts w:hint="eastAsia" w:ascii="宋体" w:hAnsi="宋体" w:eastAsia="宋体" w:cs="Times New Roman"/>
          <w:szCs w:val="32"/>
          <w:highlight w:val="none"/>
          <w:lang w:eastAsia="zh-CN"/>
        </w:rPr>
        <w:t>五</w:t>
      </w:r>
      <w:r>
        <w:rPr>
          <w:rFonts w:hint="eastAsia" w:ascii="宋体" w:hAnsi="宋体" w:eastAsia="宋体" w:cs="Times New Roman"/>
          <w:szCs w:val="32"/>
          <w:highlight w:val="none"/>
        </w:rPr>
        <w:t>章 合同条款及格式</w:t>
      </w:r>
      <w:r>
        <w:tab/>
      </w:r>
      <w:r>
        <w:fldChar w:fldCharType="begin"/>
      </w:r>
      <w:r>
        <w:instrText xml:space="preserve"> PAGEREF _Toc12584 \h </w:instrText>
      </w:r>
      <w:r>
        <w:fldChar w:fldCharType="separate"/>
      </w:r>
      <w:r>
        <w:t>36</w:t>
      </w:r>
      <w:r>
        <w:fldChar w:fldCharType="end"/>
      </w:r>
      <w:r>
        <w:rPr>
          <w:rFonts w:hint="eastAsia" w:ascii="宋体" w:hAnsi="宋体" w:eastAsia="宋体" w:cs="宋体"/>
          <w:bCs w:val="0"/>
          <w:i w:val="0"/>
          <w:iCs w:val="0"/>
          <w:caps/>
          <w:color w:val="000000"/>
          <w:kern w:val="2"/>
          <w:szCs w:val="21"/>
          <w:highlight w:val="none"/>
        </w:rPr>
        <w:fldChar w:fldCharType="end"/>
      </w:r>
    </w:p>
    <w:p>
      <w:pPr>
        <w:pStyle w:val="23"/>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_Toc32405 </w:instrText>
      </w:r>
      <w:r>
        <w:rPr>
          <w:rFonts w:hint="eastAsia" w:ascii="宋体" w:hAnsi="宋体" w:eastAsia="宋体" w:cs="宋体"/>
          <w:bCs w:val="0"/>
          <w:i w:val="0"/>
          <w:iCs w:val="0"/>
          <w:caps/>
          <w:kern w:val="2"/>
          <w:szCs w:val="21"/>
          <w:highlight w:val="none"/>
        </w:rPr>
        <w:fldChar w:fldCharType="separate"/>
      </w:r>
      <w:r>
        <w:rPr>
          <w:rFonts w:hint="eastAsia" w:ascii="宋体" w:hAnsi="宋体" w:eastAsia="宋体" w:cs="宋体"/>
          <w:szCs w:val="24"/>
          <w:highlight w:val="none"/>
        </w:rPr>
        <w:t>第一部分 合同协议书</w:t>
      </w:r>
      <w:r>
        <w:tab/>
      </w:r>
      <w:r>
        <w:fldChar w:fldCharType="begin"/>
      </w:r>
      <w:r>
        <w:instrText xml:space="preserve"> PAGEREF _Toc32405 \h </w:instrText>
      </w:r>
      <w:r>
        <w:fldChar w:fldCharType="separate"/>
      </w:r>
      <w:r>
        <w:t>37</w:t>
      </w:r>
      <w:r>
        <w:fldChar w:fldCharType="end"/>
      </w:r>
      <w:r>
        <w:rPr>
          <w:rFonts w:hint="eastAsia" w:ascii="宋体" w:hAnsi="宋体" w:eastAsia="宋体" w:cs="宋体"/>
          <w:bCs w:val="0"/>
          <w:i w:val="0"/>
          <w:iCs w:val="0"/>
          <w:caps/>
          <w:color w:val="000000"/>
          <w:kern w:val="2"/>
          <w:szCs w:val="21"/>
          <w:highlight w:val="none"/>
        </w:rPr>
        <w:fldChar w:fldCharType="end"/>
      </w:r>
    </w:p>
    <w:p>
      <w:pPr>
        <w:pStyle w:val="23"/>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_Toc32127 </w:instrText>
      </w:r>
      <w:r>
        <w:rPr>
          <w:rFonts w:hint="eastAsia" w:ascii="宋体" w:hAnsi="宋体" w:eastAsia="宋体" w:cs="宋体"/>
          <w:bCs w:val="0"/>
          <w:i w:val="0"/>
          <w:iCs w:val="0"/>
          <w:caps/>
          <w:kern w:val="2"/>
          <w:szCs w:val="21"/>
          <w:highlight w:val="none"/>
        </w:rPr>
        <w:fldChar w:fldCharType="separate"/>
      </w:r>
      <w:r>
        <w:rPr>
          <w:rFonts w:hint="eastAsia" w:ascii="宋体" w:hAnsi="宋体" w:eastAsia="宋体" w:cs="宋体"/>
          <w:szCs w:val="24"/>
          <w:highlight w:val="none"/>
        </w:rPr>
        <w:t>第二部分 通用合同条款</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略</w:t>
      </w:r>
      <w:r>
        <w:rPr>
          <w:rFonts w:hint="eastAsia" w:ascii="宋体" w:hAnsi="宋体" w:eastAsia="宋体" w:cs="宋体"/>
          <w:szCs w:val="24"/>
          <w:highlight w:val="none"/>
          <w:lang w:eastAsia="zh-CN"/>
        </w:rPr>
        <w:t>）</w:t>
      </w:r>
      <w:r>
        <w:tab/>
      </w:r>
      <w:r>
        <w:fldChar w:fldCharType="begin"/>
      </w:r>
      <w:r>
        <w:instrText xml:space="preserve"> PAGEREF _Toc32127 \h </w:instrText>
      </w:r>
      <w:r>
        <w:fldChar w:fldCharType="separate"/>
      </w:r>
      <w:r>
        <w:t>41</w:t>
      </w:r>
      <w:r>
        <w:fldChar w:fldCharType="end"/>
      </w:r>
      <w:r>
        <w:rPr>
          <w:rFonts w:hint="eastAsia" w:ascii="宋体" w:hAnsi="宋体" w:eastAsia="宋体" w:cs="宋体"/>
          <w:bCs w:val="0"/>
          <w:i w:val="0"/>
          <w:iCs w:val="0"/>
          <w:caps/>
          <w:color w:val="000000"/>
          <w:kern w:val="2"/>
          <w:szCs w:val="21"/>
          <w:highlight w:val="none"/>
        </w:rPr>
        <w:fldChar w:fldCharType="end"/>
      </w:r>
    </w:p>
    <w:p>
      <w:pPr>
        <w:pStyle w:val="23"/>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_Toc29658 </w:instrText>
      </w:r>
      <w:r>
        <w:rPr>
          <w:rFonts w:hint="eastAsia" w:ascii="宋体" w:hAnsi="宋体" w:eastAsia="宋体" w:cs="宋体"/>
          <w:bCs w:val="0"/>
          <w:i w:val="0"/>
          <w:iCs w:val="0"/>
          <w:caps/>
          <w:kern w:val="2"/>
          <w:szCs w:val="21"/>
          <w:highlight w:val="none"/>
        </w:rPr>
        <w:fldChar w:fldCharType="separate"/>
      </w:r>
      <w:r>
        <w:rPr>
          <w:rFonts w:hint="eastAsia" w:ascii="宋体" w:hAnsi="宋体" w:eastAsia="宋体" w:cs="宋体"/>
          <w:szCs w:val="24"/>
          <w:highlight w:val="none"/>
        </w:rPr>
        <w:t>第三部分 专用合同条款</w:t>
      </w:r>
      <w:r>
        <w:tab/>
      </w:r>
      <w:r>
        <w:fldChar w:fldCharType="begin"/>
      </w:r>
      <w:r>
        <w:instrText xml:space="preserve"> PAGEREF _Toc29658 \h </w:instrText>
      </w:r>
      <w:r>
        <w:fldChar w:fldCharType="separate"/>
      </w:r>
      <w:r>
        <w:t>41</w:t>
      </w:r>
      <w:r>
        <w:fldChar w:fldCharType="end"/>
      </w:r>
      <w:r>
        <w:rPr>
          <w:rFonts w:hint="eastAsia" w:ascii="宋体" w:hAnsi="宋体" w:eastAsia="宋体" w:cs="宋体"/>
          <w:bCs w:val="0"/>
          <w:i w:val="0"/>
          <w:iCs w:val="0"/>
          <w:caps/>
          <w:color w:val="000000"/>
          <w:kern w:val="2"/>
          <w:szCs w:val="21"/>
          <w:highlight w:val="none"/>
        </w:rPr>
        <w:fldChar w:fldCharType="end"/>
      </w:r>
    </w:p>
    <w:p>
      <w:pPr>
        <w:pStyle w:val="22"/>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_Toc32112 </w:instrText>
      </w:r>
      <w:r>
        <w:rPr>
          <w:rFonts w:hint="eastAsia" w:ascii="宋体" w:hAnsi="宋体" w:eastAsia="宋体" w:cs="宋体"/>
          <w:bCs w:val="0"/>
          <w:i w:val="0"/>
          <w:iCs w:val="0"/>
          <w:caps/>
          <w:kern w:val="2"/>
          <w:szCs w:val="21"/>
          <w:highlight w:val="none"/>
        </w:rPr>
        <w:fldChar w:fldCharType="separate"/>
      </w:r>
      <w:r>
        <w:rPr>
          <w:rFonts w:hint="eastAsia" w:ascii="宋体" w:hAnsi="宋体" w:eastAsia="宋体" w:cs="Times New Roman"/>
          <w:bCs/>
          <w:kern w:val="44"/>
          <w:szCs w:val="32"/>
          <w:highlight w:val="none"/>
          <w:lang w:val="en-US" w:eastAsia="zh-CN" w:bidi="ar-SA"/>
        </w:rPr>
        <w:t>第六章 工程量清单</w:t>
      </w:r>
      <w:r>
        <w:tab/>
      </w:r>
      <w:r>
        <w:fldChar w:fldCharType="begin"/>
      </w:r>
      <w:r>
        <w:instrText xml:space="preserve"> PAGEREF _Toc32112 \h </w:instrText>
      </w:r>
      <w:r>
        <w:fldChar w:fldCharType="separate"/>
      </w:r>
      <w:r>
        <w:t>75</w:t>
      </w:r>
      <w:r>
        <w:fldChar w:fldCharType="end"/>
      </w:r>
      <w:r>
        <w:rPr>
          <w:rFonts w:hint="eastAsia" w:ascii="宋体" w:hAnsi="宋体" w:eastAsia="宋体" w:cs="宋体"/>
          <w:bCs w:val="0"/>
          <w:i w:val="0"/>
          <w:iCs w:val="0"/>
          <w:caps/>
          <w:color w:val="000000"/>
          <w:kern w:val="2"/>
          <w:szCs w:val="21"/>
          <w:highlight w:val="none"/>
        </w:rPr>
        <w:fldChar w:fldCharType="end"/>
      </w:r>
    </w:p>
    <w:p>
      <w:pPr>
        <w:pStyle w:val="22"/>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_Toc2284 </w:instrText>
      </w:r>
      <w:r>
        <w:rPr>
          <w:rFonts w:hint="eastAsia" w:ascii="宋体" w:hAnsi="宋体" w:eastAsia="宋体" w:cs="宋体"/>
          <w:bCs w:val="0"/>
          <w:i w:val="0"/>
          <w:iCs w:val="0"/>
          <w:caps/>
          <w:kern w:val="2"/>
          <w:szCs w:val="21"/>
          <w:highlight w:val="none"/>
        </w:rPr>
        <w:fldChar w:fldCharType="separate"/>
      </w:r>
      <w:r>
        <w:rPr>
          <w:rFonts w:hint="eastAsia" w:ascii="宋体" w:hAnsi="宋体" w:eastAsia="宋体" w:cs="Times New Roman"/>
          <w:bCs/>
          <w:kern w:val="44"/>
          <w:szCs w:val="32"/>
          <w:highlight w:val="none"/>
          <w:lang w:val="en-US" w:eastAsia="zh-CN" w:bidi="ar-SA"/>
        </w:rPr>
        <w:t>第七章 图 纸</w:t>
      </w:r>
      <w:r>
        <w:tab/>
      </w:r>
      <w:r>
        <w:fldChar w:fldCharType="begin"/>
      </w:r>
      <w:r>
        <w:instrText xml:space="preserve"> PAGEREF _Toc2284 \h </w:instrText>
      </w:r>
      <w:r>
        <w:fldChar w:fldCharType="separate"/>
      </w:r>
      <w:r>
        <w:t>76</w:t>
      </w:r>
      <w:r>
        <w:fldChar w:fldCharType="end"/>
      </w:r>
      <w:r>
        <w:rPr>
          <w:rFonts w:hint="eastAsia" w:ascii="宋体" w:hAnsi="宋体" w:eastAsia="宋体" w:cs="宋体"/>
          <w:bCs w:val="0"/>
          <w:i w:val="0"/>
          <w:iCs w:val="0"/>
          <w:caps/>
          <w:color w:val="000000"/>
          <w:kern w:val="2"/>
          <w:szCs w:val="21"/>
          <w:highlight w:val="none"/>
        </w:rPr>
        <w:fldChar w:fldCharType="end"/>
      </w:r>
    </w:p>
    <w:p>
      <w:pPr>
        <w:pStyle w:val="22"/>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_Toc25390 </w:instrText>
      </w:r>
      <w:r>
        <w:rPr>
          <w:rFonts w:hint="eastAsia" w:ascii="宋体" w:hAnsi="宋体" w:eastAsia="宋体" w:cs="宋体"/>
          <w:bCs w:val="0"/>
          <w:i w:val="0"/>
          <w:iCs w:val="0"/>
          <w:caps/>
          <w:kern w:val="2"/>
          <w:szCs w:val="21"/>
          <w:highlight w:val="none"/>
        </w:rPr>
        <w:fldChar w:fldCharType="separate"/>
      </w:r>
      <w:r>
        <w:rPr>
          <w:rFonts w:hint="eastAsia"/>
          <w:szCs w:val="32"/>
          <w:highlight w:val="none"/>
          <w:lang w:eastAsia="zh-CN"/>
        </w:rPr>
        <w:t>第八章</w:t>
      </w:r>
      <w:r>
        <w:rPr>
          <w:rFonts w:hint="eastAsia"/>
          <w:szCs w:val="32"/>
          <w:highlight w:val="none"/>
          <w:lang w:val="en-US" w:eastAsia="zh-CN"/>
        </w:rPr>
        <w:t xml:space="preserve"> </w:t>
      </w:r>
      <w:r>
        <w:rPr>
          <w:rFonts w:hint="eastAsia"/>
          <w:szCs w:val="32"/>
          <w:highlight w:val="none"/>
        </w:rPr>
        <w:t>技术标准</w:t>
      </w:r>
      <w:r>
        <w:rPr>
          <w:rFonts w:hint="eastAsia"/>
          <w:szCs w:val="32"/>
          <w:highlight w:val="none"/>
          <w:lang w:eastAsia="zh-CN"/>
        </w:rPr>
        <w:t>和</w:t>
      </w:r>
      <w:r>
        <w:rPr>
          <w:rFonts w:hint="eastAsia"/>
          <w:szCs w:val="32"/>
          <w:highlight w:val="none"/>
        </w:rPr>
        <w:t>要求</w:t>
      </w:r>
      <w:r>
        <w:tab/>
      </w:r>
      <w:r>
        <w:fldChar w:fldCharType="begin"/>
      </w:r>
      <w:r>
        <w:instrText xml:space="preserve"> PAGEREF _Toc25390 \h </w:instrText>
      </w:r>
      <w:r>
        <w:fldChar w:fldCharType="separate"/>
      </w:r>
      <w:r>
        <w:t>77</w:t>
      </w:r>
      <w:r>
        <w:fldChar w:fldCharType="end"/>
      </w:r>
      <w:r>
        <w:rPr>
          <w:rFonts w:hint="eastAsia" w:ascii="宋体" w:hAnsi="宋体" w:eastAsia="宋体" w:cs="宋体"/>
          <w:bCs w:val="0"/>
          <w:i w:val="0"/>
          <w:iCs w:val="0"/>
          <w:caps/>
          <w:color w:val="000000"/>
          <w:kern w:val="2"/>
          <w:szCs w:val="21"/>
          <w:highlight w:val="none"/>
        </w:rPr>
        <w:fldChar w:fldCharType="end"/>
      </w:r>
    </w:p>
    <w:p>
      <w:pPr>
        <w:pStyle w:val="22"/>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_Toc15867 </w:instrText>
      </w:r>
      <w:r>
        <w:rPr>
          <w:rFonts w:hint="eastAsia" w:ascii="宋体" w:hAnsi="宋体" w:eastAsia="宋体" w:cs="宋体"/>
          <w:bCs w:val="0"/>
          <w:i w:val="0"/>
          <w:iCs w:val="0"/>
          <w:caps/>
          <w:kern w:val="2"/>
          <w:szCs w:val="21"/>
          <w:highlight w:val="none"/>
        </w:rPr>
        <w:fldChar w:fldCharType="separate"/>
      </w:r>
      <w:r>
        <w:rPr>
          <w:rFonts w:hint="eastAsia"/>
          <w:szCs w:val="32"/>
          <w:highlight w:val="none"/>
        </w:rPr>
        <w:t>第</w:t>
      </w:r>
      <w:r>
        <w:rPr>
          <w:rFonts w:hint="eastAsia"/>
          <w:szCs w:val="32"/>
          <w:highlight w:val="none"/>
          <w:lang w:eastAsia="zh-CN"/>
        </w:rPr>
        <w:t>九</w:t>
      </w:r>
      <w:r>
        <w:rPr>
          <w:rFonts w:hint="eastAsia"/>
          <w:szCs w:val="32"/>
          <w:highlight w:val="none"/>
        </w:rPr>
        <w:t>章 投标文件格式</w:t>
      </w:r>
      <w:r>
        <w:tab/>
      </w:r>
      <w:r>
        <w:fldChar w:fldCharType="begin"/>
      </w:r>
      <w:r>
        <w:instrText xml:space="preserve"> PAGEREF _Toc15867 \h </w:instrText>
      </w:r>
      <w:r>
        <w:fldChar w:fldCharType="separate"/>
      </w:r>
      <w:r>
        <w:t>78</w:t>
      </w:r>
      <w:r>
        <w:fldChar w:fldCharType="end"/>
      </w:r>
      <w:r>
        <w:rPr>
          <w:rFonts w:hint="eastAsia" w:ascii="宋体" w:hAnsi="宋体" w:eastAsia="宋体" w:cs="宋体"/>
          <w:bCs w:val="0"/>
          <w:i w:val="0"/>
          <w:iCs w:val="0"/>
          <w:caps/>
          <w:color w:val="000000"/>
          <w:kern w:val="2"/>
          <w:szCs w:val="21"/>
          <w:highlight w:val="none"/>
        </w:rPr>
        <w:fldChar w:fldCharType="end"/>
      </w:r>
    </w:p>
    <w:p>
      <w:pPr>
        <w:pStyle w:val="16"/>
        <w:tabs>
          <w:tab w:val="right" w:leader="dot" w:pos="9411"/>
        </w:tabs>
        <w:rPr>
          <w:i w:val="0"/>
          <w:iCs w:val="0"/>
        </w:rPr>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_Toc4552 </w:instrText>
      </w:r>
      <w:r>
        <w:rPr>
          <w:rFonts w:hint="eastAsia" w:ascii="宋体" w:hAnsi="宋体" w:eastAsia="宋体" w:cs="宋体"/>
          <w:bCs w:val="0"/>
          <w:i w:val="0"/>
          <w:iCs w:val="0"/>
          <w:caps/>
          <w:kern w:val="2"/>
          <w:szCs w:val="21"/>
          <w:highlight w:val="none"/>
        </w:rPr>
        <w:fldChar w:fldCharType="separate"/>
      </w:r>
      <w:r>
        <w:rPr>
          <w:rFonts w:hint="eastAsia" w:ascii="宋体" w:hAnsi="宋体"/>
          <w:i w:val="0"/>
          <w:iCs w:val="0"/>
          <w:kern w:val="0"/>
          <w:highlight w:val="none"/>
        </w:rPr>
        <w:t>一、投标函及投标函附录</w:t>
      </w:r>
      <w:r>
        <w:rPr>
          <w:i w:val="0"/>
          <w:iCs w:val="0"/>
        </w:rPr>
        <w:tab/>
      </w:r>
      <w:r>
        <w:rPr>
          <w:i w:val="0"/>
          <w:iCs w:val="0"/>
        </w:rPr>
        <w:fldChar w:fldCharType="begin"/>
      </w:r>
      <w:r>
        <w:rPr>
          <w:i w:val="0"/>
          <w:iCs w:val="0"/>
        </w:rPr>
        <w:instrText xml:space="preserve"> PAGEREF _Toc4552 \h </w:instrText>
      </w:r>
      <w:r>
        <w:rPr>
          <w:i w:val="0"/>
          <w:iCs w:val="0"/>
        </w:rPr>
        <w:fldChar w:fldCharType="separate"/>
      </w:r>
      <w:r>
        <w:rPr>
          <w:i w:val="0"/>
          <w:iCs w:val="0"/>
        </w:rPr>
        <w:t>80</w:t>
      </w:r>
      <w:r>
        <w:rPr>
          <w:i w:val="0"/>
          <w:iCs w:val="0"/>
        </w:rPr>
        <w:fldChar w:fldCharType="end"/>
      </w:r>
      <w:r>
        <w:rPr>
          <w:rFonts w:hint="eastAsia" w:ascii="宋体" w:hAnsi="宋体" w:eastAsia="宋体" w:cs="宋体"/>
          <w:bCs w:val="0"/>
          <w:i w:val="0"/>
          <w:iCs w:val="0"/>
          <w:caps/>
          <w:color w:val="000000"/>
          <w:kern w:val="2"/>
          <w:szCs w:val="21"/>
          <w:highlight w:val="none"/>
        </w:rPr>
        <w:fldChar w:fldCharType="end"/>
      </w:r>
    </w:p>
    <w:p>
      <w:pPr>
        <w:pStyle w:val="16"/>
        <w:tabs>
          <w:tab w:val="right" w:leader="dot" w:pos="9411"/>
        </w:tabs>
        <w:rPr>
          <w:i w:val="0"/>
          <w:iCs w:val="0"/>
        </w:rPr>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_Toc18161 </w:instrText>
      </w:r>
      <w:r>
        <w:rPr>
          <w:rFonts w:hint="eastAsia" w:ascii="宋体" w:hAnsi="宋体" w:eastAsia="宋体" w:cs="宋体"/>
          <w:bCs w:val="0"/>
          <w:i w:val="0"/>
          <w:iCs w:val="0"/>
          <w:caps/>
          <w:kern w:val="2"/>
          <w:szCs w:val="21"/>
          <w:highlight w:val="none"/>
        </w:rPr>
        <w:fldChar w:fldCharType="separate"/>
      </w:r>
      <w:r>
        <w:rPr>
          <w:rFonts w:hint="eastAsia" w:ascii="宋体" w:hAnsi="宋体" w:eastAsia="宋体" w:cs="宋体"/>
          <w:i w:val="0"/>
          <w:iCs w:val="0"/>
          <w:highlight w:val="none"/>
        </w:rPr>
        <w:t>二、法定代表人身份证明及授权委托书</w:t>
      </w:r>
      <w:r>
        <w:rPr>
          <w:i w:val="0"/>
          <w:iCs w:val="0"/>
        </w:rPr>
        <w:tab/>
      </w:r>
      <w:r>
        <w:rPr>
          <w:i w:val="0"/>
          <w:iCs w:val="0"/>
        </w:rPr>
        <w:fldChar w:fldCharType="begin"/>
      </w:r>
      <w:r>
        <w:rPr>
          <w:i w:val="0"/>
          <w:iCs w:val="0"/>
        </w:rPr>
        <w:instrText xml:space="preserve"> PAGEREF _Toc18161 \h </w:instrText>
      </w:r>
      <w:r>
        <w:rPr>
          <w:i w:val="0"/>
          <w:iCs w:val="0"/>
        </w:rPr>
        <w:fldChar w:fldCharType="separate"/>
      </w:r>
      <w:r>
        <w:rPr>
          <w:i w:val="0"/>
          <w:iCs w:val="0"/>
        </w:rPr>
        <w:t>82</w:t>
      </w:r>
      <w:r>
        <w:rPr>
          <w:i w:val="0"/>
          <w:iCs w:val="0"/>
        </w:rPr>
        <w:fldChar w:fldCharType="end"/>
      </w:r>
      <w:r>
        <w:rPr>
          <w:rFonts w:hint="eastAsia" w:ascii="宋体" w:hAnsi="宋体" w:eastAsia="宋体" w:cs="宋体"/>
          <w:bCs w:val="0"/>
          <w:i w:val="0"/>
          <w:iCs w:val="0"/>
          <w:caps/>
          <w:color w:val="000000"/>
          <w:kern w:val="2"/>
          <w:szCs w:val="21"/>
          <w:highlight w:val="none"/>
        </w:rPr>
        <w:fldChar w:fldCharType="end"/>
      </w:r>
    </w:p>
    <w:p>
      <w:pPr>
        <w:pStyle w:val="16"/>
        <w:tabs>
          <w:tab w:val="right" w:leader="dot" w:pos="9411"/>
        </w:tabs>
        <w:rPr>
          <w:i w:val="0"/>
          <w:iCs w:val="0"/>
        </w:rPr>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_Toc15928 </w:instrText>
      </w:r>
      <w:r>
        <w:rPr>
          <w:rFonts w:hint="eastAsia" w:ascii="宋体" w:hAnsi="宋体" w:eastAsia="宋体" w:cs="宋体"/>
          <w:bCs w:val="0"/>
          <w:i w:val="0"/>
          <w:iCs w:val="0"/>
          <w:caps/>
          <w:kern w:val="2"/>
          <w:szCs w:val="21"/>
          <w:highlight w:val="none"/>
        </w:rPr>
        <w:fldChar w:fldCharType="separate"/>
      </w:r>
      <w:r>
        <w:rPr>
          <w:rFonts w:hint="eastAsia" w:ascii="宋体" w:hAnsi="宋体"/>
          <w:i w:val="0"/>
          <w:iCs w:val="0"/>
          <w:kern w:val="0"/>
          <w:highlight w:val="none"/>
          <w:lang w:val="en-US" w:eastAsia="zh-CN"/>
        </w:rPr>
        <w:t>三</w:t>
      </w:r>
      <w:r>
        <w:rPr>
          <w:rFonts w:hint="eastAsia" w:ascii="宋体" w:hAnsi="宋体"/>
          <w:i w:val="0"/>
          <w:iCs w:val="0"/>
          <w:kern w:val="0"/>
          <w:highlight w:val="none"/>
        </w:rPr>
        <w:t>、投标保证金</w:t>
      </w:r>
      <w:r>
        <w:rPr>
          <w:i w:val="0"/>
          <w:iCs w:val="0"/>
        </w:rPr>
        <w:tab/>
      </w:r>
      <w:r>
        <w:rPr>
          <w:i w:val="0"/>
          <w:iCs w:val="0"/>
        </w:rPr>
        <w:fldChar w:fldCharType="begin"/>
      </w:r>
      <w:r>
        <w:rPr>
          <w:i w:val="0"/>
          <w:iCs w:val="0"/>
        </w:rPr>
        <w:instrText xml:space="preserve"> PAGEREF _Toc15928 \h </w:instrText>
      </w:r>
      <w:r>
        <w:rPr>
          <w:i w:val="0"/>
          <w:iCs w:val="0"/>
        </w:rPr>
        <w:fldChar w:fldCharType="separate"/>
      </w:r>
      <w:r>
        <w:rPr>
          <w:i w:val="0"/>
          <w:iCs w:val="0"/>
        </w:rPr>
        <w:t>84</w:t>
      </w:r>
      <w:r>
        <w:rPr>
          <w:i w:val="0"/>
          <w:iCs w:val="0"/>
        </w:rPr>
        <w:fldChar w:fldCharType="end"/>
      </w:r>
      <w:r>
        <w:rPr>
          <w:rFonts w:hint="eastAsia" w:ascii="宋体" w:hAnsi="宋体" w:eastAsia="宋体" w:cs="宋体"/>
          <w:bCs w:val="0"/>
          <w:i w:val="0"/>
          <w:iCs w:val="0"/>
          <w:caps/>
          <w:color w:val="000000"/>
          <w:kern w:val="2"/>
          <w:szCs w:val="21"/>
          <w:highlight w:val="none"/>
        </w:rPr>
        <w:fldChar w:fldCharType="end"/>
      </w:r>
    </w:p>
    <w:p>
      <w:pPr>
        <w:pStyle w:val="16"/>
        <w:tabs>
          <w:tab w:val="right" w:leader="dot" w:pos="9411"/>
        </w:tabs>
        <w:rPr>
          <w:i w:val="0"/>
          <w:iCs w:val="0"/>
        </w:rPr>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_Toc23246 </w:instrText>
      </w:r>
      <w:r>
        <w:rPr>
          <w:rFonts w:hint="eastAsia" w:ascii="宋体" w:hAnsi="宋体" w:eastAsia="宋体" w:cs="宋体"/>
          <w:bCs w:val="0"/>
          <w:i w:val="0"/>
          <w:iCs w:val="0"/>
          <w:caps/>
          <w:kern w:val="2"/>
          <w:szCs w:val="21"/>
          <w:highlight w:val="none"/>
        </w:rPr>
        <w:fldChar w:fldCharType="separate"/>
      </w:r>
      <w:r>
        <w:rPr>
          <w:rFonts w:hint="eastAsia" w:ascii="宋体" w:hAnsi="宋体"/>
          <w:i w:val="0"/>
          <w:iCs w:val="0"/>
          <w:kern w:val="0"/>
          <w:highlight w:val="none"/>
          <w:lang w:val="en-US" w:eastAsia="zh-CN"/>
        </w:rPr>
        <w:t>四</w:t>
      </w:r>
      <w:r>
        <w:rPr>
          <w:rFonts w:hint="eastAsia" w:ascii="宋体" w:hAnsi="宋体"/>
          <w:i w:val="0"/>
          <w:iCs w:val="0"/>
          <w:kern w:val="0"/>
          <w:highlight w:val="none"/>
        </w:rPr>
        <w:t>、已标价工程量清单</w:t>
      </w:r>
      <w:r>
        <w:rPr>
          <w:i w:val="0"/>
          <w:iCs w:val="0"/>
        </w:rPr>
        <w:tab/>
      </w:r>
      <w:r>
        <w:rPr>
          <w:i w:val="0"/>
          <w:iCs w:val="0"/>
        </w:rPr>
        <w:fldChar w:fldCharType="begin"/>
      </w:r>
      <w:r>
        <w:rPr>
          <w:i w:val="0"/>
          <w:iCs w:val="0"/>
        </w:rPr>
        <w:instrText xml:space="preserve"> PAGEREF _Toc23246 \h </w:instrText>
      </w:r>
      <w:r>
        <w:rPr>
          <w:i w:val="0"/>
          <w:iCs w:val="0"/>
        </w:rPr>
        <w:fldChar w:fldCharType="separate"/>
      </w:r>
      <w:r>
        <w:rPr>
          <w:i w:val="0"/>
          <w:iCs w:val="0"/>
        </w:rPr>
        <w:t>85</w:t>
      </w:r>
      <w:r>
        <w:rPr>
          <w:i w:val="0"/>
          <w:iCs w:val="0"/>
        </w:rPr>
        <w:fldChar w:fldCharType="end"/>
      </w:r>
      <w:r>
        <w:rPr>
          <w:rFonts w:hint="eastAsia" w:ascii="宋体" w:hAnsi="宋体" w:eastAsia="宋体" w:cs="宋体"/>
          <w:bCs w:val="0"/>
          <w:i w:val="0"/>
          <w:iCs w:val="0"/>
          <w:caps/>
          <w:color w:val="000000"/>
          <w:kern w:val="2"/>
          <w:szCs w:val="21"/>
          <w:highlight w:val="none"/>
        </w:rPr>
        <w:fldChar w:fldCharType="end"/>
      </w:r>
    </w:p>
    <w:p>
      <w:pPr>
        <w:pStyle w:val="16"/>
        <w:tabs>
          <w:tab w:val="right" w:leader="dot" w:pos="9411"/>
        </w:tabs>
        <w:rPr>
          <w:i w:val="0"/>
          <w:iCs w:val="0"/>
        </w:rPr>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_Toc27069 </w:instrText>
      </w:r>
      <w:r>
        <w:rPr>
          <w:rFonts w:hint="eastAsia" w:ascii="宋体" w:hAnsi="宋体" w:eastAsia="宋体" w:cs="宋体"/>
          <w:bCs w:val="0"/>
          <w:i w:val="0"/>
          <w:iCs w:val="0"/>
          <w:caps/>
          <w:kern w:val="2"/>
          <w:szCs w:val="21"/>
          <w:highlight w:val="none"/>
        </w:rPr>
        <w:fldChar w:fldCharType="separate"/>
      </w:r>
      <w:r>
        <w:rPr>
          <w:rFonts w:hint="eastAsia" w:ascii="宋体" w:hAnsi="宋体"/>
          <w:i w:val="0"/>
          <w:iCs w:val="0"/>
          <w:kern w:val="0"/>
          <w:highlight w:val="none"/>
          <w:lang w:val="en-US" w:eastAsia="zh-CN"/>
        </w:rPr>
        <w:t>五</w:t>
      </w:r>
      <w:r>
        <w:rPr>
          <w:rFonts w:hint="eastAsia" w:ascii="宋体" w:hAnsi="宋体"/>
          <w:i w:val="0"/>
          <w:iCs w:val="0"/>
          <w:kern w:val="0"/>
          <w:highlight w:val="none"/>
        </w:rPr>
        <w:t>、施工组织设计</w:t>
      </w:r>
      <w:r>
        <w:rPr>
          <w:i w:val="0"/>
          <w:iCs w:val="0"/>
        </w:rPr>
        <w:tab/>
      </w:r>
      <w:r>
        <w:rPr>
          <w:i w:val="0"/>
          <w:iCs w:val="0"/>
        </w:rPr>
        <w:fldChar w:fldCharType="begin"/>
      </w:r>
      <w:r>
        <w:rPr>
          <w:i w:val="0"/>
          <w:iCs w:val="0"/>
        </w:rPr>
        <w:instrText xml:space="preserve"> PAGEREF _Toc27069 \h </w:instrText>
      </w:r>
      <w:r>
        <w:rPr>
          <w:i w:val="0"/>
          <w:iCs w:val="0"/>
        </w:rPr>
        <w:fldChar w:fldCharType="separate"/>
      </w:r>
      <w:r>
        <w:rPr>
          <w:i w:val="0"/>
          <w:iCs w:val="0"/>
        </w:rPr>
        <w:t>86</w:t>
      </w:r>
      <w:r>
        <w:rPr>
          <w:i w:val="0"/>
          <w:iCs w:val="0"/>
        </w:rPr>
        <w:fldChar w:fldCharType="end"/>
      </w:r>
      <w:r>
        <w:rPr>
          <w:rFonts w:hint="eastAsia" w:ascii="宋体" w:hAnsi="宋体" w:eastAsia="宋体" w:cs="宋体"/>
          <w:bCs w:val="0"/>
          <w:i w:val="0"/>
          <w:iCs w:val="0"/>
          <w:caps/>
          <w:color w:val="000000"/>
          <w:kern w:val="2"/>
          <w:szCs w:val="21"/>
          <w:highlight w:val="none"/>
        </w:rPr>
        <w:fldChar w:fldCharType="end"/>
      </w:r>
    </w:p>
    <w:p>
      <w:pPr>
        <w:pStyle w:val="16"/>
        <w:tabs>
          <w:tab w:val="right" w:leader="dot" w:pos="9411"/>
        </w:tabs>
        <w:rPr>
          <w:i w:val="0"/>
          <w:iCs w:val="0"/>
        </w:rPr>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_Toc2827 </w:instrText>
      </w:r>
      <w:r>
        <w:rPr>
          <w:rFonts w:hint="eastAsia" w:ascii="宋体" w:hAnsi="宋体" w:eastAsia="宋体" w:cs="宋体"/>
          <w:bCs w:val="0"/>
          <w:i w:val="0"/>
          <w:iCs w:val="0"/>
          <w:caps/>
          <w:kern w:val="2"/>
          <w:szCs w:val="21"/>
          <w:highlight w:val="none"/>
        </w:rPr>
        <w:fldChar w:fldCharType="separate"/>
      </w:r>
      <w:r>
        <w:rPr>
          <w:rFonts w:hint="eastAsia" w:ascii="宋体" w:hAnsi="宋体"/>
          <w:i w:val="0"/>
          <w:iCs w:val="0"/>
          <w:kern w:val="0"/>
          <w:highlight w:val="none"/>
          <w:lang w:val="en-US" w:eastAsia="zh-CN"/>
        </w:rPr>
        <w:t>六</w:t>
      </w:r>
      <w:r>
        <w:rPr>
          <w:rFonts w:hint="eastAsia" w:ascii="宋体" w:hAnsi="宋体"/>
          <w:i w:val="0"/>
          <w:iCs w:val="0"/>
          <w:kern w:val="0"/>
          <w:highlight w:val="none"/>
        </w:rPr>
        <w:t>、项目管理机构</w:t>
      </w:r>
      <w:r>
        <w:rPr>
          <w:i w:val="0"/>
          <w:iCs w:val="0"/>
        </w:rPr>
        <w:tab/>
      </w:r>
      <w:r>
        <w:rPr>
          <w:i w:val="0"/>
          <w:iCs w:val="0"/>
        </w:rPr>
        <w:fldChar w:fldCharType="begin"/>
      </w:r>
      <w:r>
        <w:rPr>
          <w:i w:val="0"/>
          <w:iCs w:val="0"/>
        </w:rPr>
        <w:instrText xml:space="preserve"> PAGEREF _Toc2827 \h </w:instrText>
      </w:r>
      <w:r>
        <w:rPr>
          <w:i w:val="0"/>
          <w:iCs w:val="0"/>
        </w:rPr>
        <w:fldChar w:fldCharType="separate"/>
      </w:r>
      <w:r>
        <w:rPr>
          <w:i w:val="0"/>
          <w:iCs w:val="0"/>
        </w:rPr>
        <w:t>89</w:t>
      </w:r>
      <w:r>
        <w:rPr>
          <w:i w:val="0"/>
          <w:iCs w:val="0"/>
        </w:rPr>
        <w:fldChar w:fldCharType="end"/>
      </w:r>
      <w:r>
        <w:rPr>
          <w:rFonts w:hint="eastAsia" w:ascii="宋体" w:hAnsi="宋体" w:eastAsia="宋体" w:cs="宋体"/>
          <w:bCs w:val="0"/>
          <w:i w:val="0"/>
          <w:iCs w:val="0"/>
          <w:caps/>
          <w:color w:val="000000"/>
          <w:kern w:val="2"/>
          <w:szCs w:val="21"/>
          <w:highlight w:val="none"/>
        </w:rPr>
        <w:fldChar w:fldCharType="end"/>
      </w:r>
    </w:p>
    <w:p>
      <w:pPr>
        <w:pStyle w:val="16"/>
        <w:tabs>
          <w:tab w:val="right" w:leader="dot" w:pos="9411"/>
        </w:tabs>
        <w:rPr>
          <w:i w:val="0"/>
          <w:iCs w:val="0"/>
        </w:rPr>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_Toc2108 </w:instrText>
      </w:r>
      <w:r>
        <w:rPr>
          <w:rFonts w:hint="eastAsia" w:ascii="宋体" w:hAnsi="宋体" w:eastAsia="宋体" w:cs="宋体"/>
          <w:bCs w:val="0"/>
          <w:i w:val="0"/>
          <w:iCs w:val="0"/>
          <w:caps/>
          <w:kern w:val="2"/>
          <w:szCs w:val="21"/>
          <w:highlight w:val="none"/>
        </w:rPr>
        <w:fldChar w:fldCharType="separate"/>
      </w:r>
      <w:r>
        <w:rPr>
          <w:rFonts w:hint="eastAsia" w:ascii="宋体" w:hAnsi="宋体"/>
          <w:i w:val="0"/>
          <w:iCs w:val="0"/>
          <w:kern w:val="0"/>
          <w:highlight w:val="none"/>
          <w:lang w:val="en-US" w:eastAsia="zh-CN"/>
        </w:rPr>
        <w:t>七</w:t>
      </w:r>
      <w:r>
        <w:rPr>
          <w:rFonts w:hint="eastAsia" w:ascii="宋体" w:hAnsi="宋体"/>
          <w:i w:val="0"/>
          <w:iCs w:val="0"/>
          <w:kern w:val="0"/>
          <w:highlight w:val="none"/>
        </w:rPr>
        <w:t>、资格审查资料</w:t>
      </w:r>
      <w:r>
        <w:rPr>
          <w:i w:val="0"/>
          <w:iCs w:val="0"/>
        </w:rPr>
        <w:tab/>
      </w:r>
      <w:r>
        <w:rPr>
          <w:i w:val="0"/>
          <w:iCs w:val="0"/>
        </w:rPr>
        <w:fldChar w:fldCharType="begin"/>
      </w:r>
      <w:r>
        <w:rPr>
          <w:i w:val="0"/>
          <w:iCs w:val="0"/>
        </w:rPr>
        <w:instrText xml:space="preserve"> PAGEREF _Toc2108 \h </w:instrText>
      </w:r>
      <w:r>
        <w:rPr>
          <w:i w:val="0"/>
          <w:iCs w:val="0"/>
        </w:rPr>
        <w:fldChar w:fldCharType="separate"/>
      </w:r>
      <w:r>
        <w:rPr>
          <w:i w:val="0"/>
          <w:iCs w:val="0"/>
        </w:rPr>
        <w:t>91</w:t>
      </w:r>
      <w:r>
        <w:rPr>
          <w:i w:val="0"/>
          <w:iCs w:val="0"/>
        </w:rPr>
        <w:fldChar w:fldCharType="end"/>
      </w:r>
      <w:r>
        <w:rPr>
          <w:rFonts w:hint="eastAsia" w:ascii="宋体" w:hAnsi="宋体" w:eastAsia="宋体" w:cs="宋体"/>
          <w:bCs w:val="0"/>
          <w:i w:val="0"/>
          <w:iCs w:val="0"/>
          <w:caps/>
          <w:color w:val="000000"/>
          <w:kern w:val="2"/>
          <w:szCs w:val="21"/>
          <w:highlight w:val="none"/>
        </w:rPr>
        <w:fldChar w:fldCharType="end"/>
      </w:r>
    </w:p>
    <w:p>
      <w:pPr>
        <w:pStyle w:val="16"/>
        <w:tabs>
          <w:tab w:val="right" w:leader="dot" w:pos="9411"/>
        </w:tabs>
      </w:pPr>
      <w:r>
        <w:rPr>
          <w:rFonts w:hint="eastAsia" w:ascii="宋体" w:hAnsi="宋体" w:eastAsia="宋体" w:cs="宋体"/>
          <w:bCs w:val="0"/>
          <w:i w:val="0"/>
          <w:iCs w:val="0"/>
          <w:caps/>
          <w:color w:val="000000"/>
          <w:kern w:val="2"/>
          <w:szCs w:val="21"/>
          <w:highlight w:val="none"/>
        </w:rPr>
        <w:fldChar w:fldCharType="begin"/>
      </w:r>
      <w:r>
        <w:rPr>
          <w:rFonts w:hint="eastAsia" w:ascii="宋体" w:hAnsi="宋体" w:eastAsia="宋体" w:cs="宋体"/>
          <w:bCs w:val="0"/>
          <w:i w:val="0"/>
          <w:iCs w:val="0"/>
          <w:caps/>
          <w:kern w:val="2"/>
          <w:szCs w:val="21"/>
          <w:highlight w:val="none"/>
        </w:rPr>
        <w:instrText xml:space="preserve"> HYPERLINK \l _Toc19207 </w:instrText>
      </w:r>
      <w:r>
        <w:rPr>
          <w:rFonts w:hint="eastAsia" w:ascii="宋体" w:hAnsi="宋体" w:eastAsia="宋体" w:cs="宋体"/>
          <w:bCs w:val="0"/>
          <w:i w:val="0"/>
          <w:iCs w:val="0"/>
          <w:caps/>
          <w:kern w:val="2"/>
          <w:szCs w:val="21"/>
          <w:highlight w:val="none"/>
        </w:rPr>
        <w:fldChar w:fldCharType="separate"/>
      </w:r>
      <w:r>
        <w:rPr>
          <w:rFonts w:hint="eastAsia" w:ascii="宋体" w:hAnsi="宋体"/>
          <w:i w:val="0"/>
          <w:iCs w:val="0"/>
          <w:kern w:val="0"/>
          <w:highlight w:val="none"/>
          <w:lang w:val="en-US" w:eastAsia="zh-CN"/>
        </w:rPr>
        <w:t>八</w:t>
      </w:r>
      <w:r>
        <w:rPr>
          <w:rFonts w:hint="eastAsia" w:ascii="宋体" w:hAnsi="宋体"/>
          <w:i w:val="0"/>
          <w:iCs w:val="0"/>
          <w:kern w:val="0"/>
          <w:highlight w:val="none"/>
        </w:rPr>
        <w:t>、</w:t>
      </w:r>
      <w:r>
        <w:rPr>
          <w:rFonts w:hint="eastAsia" w:ascii="宋体" w:hAnsi="宋体"/>
          <w:i w:val="0"/>
          <w:iCs w:val="0"/>
          <w:kern w:val="0"/>
          <w:highlight w:val="none"/>
          <w:lang w:val="en-US" w:eastAsia="zh-CN"/>
        </w:rPr>
        <w:t>其他资料</w:t>
      </w:r>
      <w:r>
        <w:rPr>
          <w:i w:val="0"/>
          <w:iCs w:val="0"/>
        </w:rPr>
        <w:tab/>
      </w:r>
      <w:r>
        <w:rPr>
          <w:i w:val="0"/>
          <w:iCs w:val="0"/>
        </w:rPr>
        <w:fldChar w:fldCharType="begin"/>
      </w:r>
      <w:r>
        <w:rPr>
          <w:i w:val="0"/>
          <w:iCs w:val="0"/>
        </w:rPr>
        <w:instrText xml:space="preserve"> PAGEREF _Toc19207 \h </w:instrText>
      </w:r>
      <w:r>
        <w:rPr>
          <w:i w:val="0"/>
          <w:iCs w:val="0"/>
        </w:rPr>
        <w:fldChar w:fldCharType="separate"/>
      </w:r>
      <w:r>
        <w:rPr>
          <w:i w:val="0"/>
          <w:iCs w:val="0"/>
        </w:rPr>
        <w:t>96</w:t>
      </w:r>
      <w:r>
        <w:rPr>
          <w:i w:val="0"/>
          <w:iCs w:val="0"/>
        </w:rPr>
        <w:fldChar w:fldCharType="end"/>
      </w:r>
      <w:r>
        <w:rPr>
          <w:rFonts w:hint="eastAsia" w:ascii="宋体" w:hAnsi="宋体" w:eastAsia="宋体" w:cs="宋体"/>
          <w:bCs w:val="0"/>
          <w:i w:val="0"/>
          <w:iCs w:val="0"/>
          <w:caps/>
          <w:color w:val="000000"/>
          <w:kern w:val="2"/>
          <w:szCs w:val="21"/>
          <w:highlight w:val="none"/>
        </w:rPr>
        <w:fldChar w:fldCharType="end"/>
      </w:r>
    </w:p>
    <w:p>
      <w:pPr>
        <w:pStyle w:val="46"/>
        <w:keepNext w:val="0"/>
        <w:keepLines w:val="0"/>
        <w:pageBreakBefore w:val="0"/>
        <w:widowControl w:val="0"/>
        <w:shd w:val="clear" w:fill="FFFFFF" w:themeFill="background1"/>
        <w:tabs>
          <w:tab w:val="right" w:leader="dot" w:pos="8460"/>
        </w:tabs>
        <w:kinsoku/>
        <w:wordWrap/>
        <w:overflowPunct/>
        <w:topLinePunct w:val="0"/>
        <w:autoSpaceDE/>
        <w:autoSpaceDN/>
        <w:bidi w:val="0"/>
        <w:snapToGrid/>
        <w:spacing w:beforeLines="0" w:afterLines="0" w:line="360" w:lineRule="exact"/>
        <w:ind w:left="0" w:leftChars="0"/>
        <w:jc w:val="center"/>
        <w:textAlignment w:val="auto"/>
        <w:rPr>
          <w:rFonts w:hint="eastAsia" w:hAnsi="宋体"/>
          <w:color w:val="000000"/>
          <w:highlight w:val="none"/>
        </w:rPr>
        <w:sectPr>
          <w:headerReference r:id="rId8" w:type="first"/>
          <w:footerReference r:id="rId10" w:type="first"/>
          <w:footerReference r:id="rId9" w:type="default"/>
          <w:pgSz w:w="11905" w:h="16838"/>
          <w:pgMar w:top="1247" w:right="1247" w:bottom="1247" w:left="1247" w:header="850" w:footer="992" w:gutter="0"/>
          <w:pgNumType w:fmt="decimal" w:start="1"/>
          <w:cols w:space="0" w:num="1"/>
          <w:titlePg/>
          <w:rtlGutter w:val="0"/>
          <w:docGrid w:type="lines" w:linePitch="319" w:charSpace="0"/>
        </w:sectPr>
      </w:pPr>
      <w:r>
        <w:rPr>
          <w:rFonts w:hint="eastAsia" w:ascii="宋体" w:hAnsi="宋体" w:eastAsia="宋体" w:cs="宋体"/>
          <w:b w:val="0"/>
          <w:bCs w:val="0"/>
          <w:i w:val="0"/>
          <w:iCs w:val="0"/>
          <w:caps/>
          <w:color w:val="000000"/>
          <w:kern w:val="2"/>
          <w:sz w:val="21"/>
          <w:szCs w:val="21"/>
          <w:highlight w:val="none"/>
        </w:rPr>
        <w:fldChar w:fldCharType="end"/>
      </w:r>
    </w:p>
    <w:p>
      <w:pPr>
        <w:pStyle w:val="2"/>
        <w:shd w:val="clear" w:fill="auto"/>
        <w:spacing w:before="0" w:after="0" w:line="360" w:lineRule="auto"/>
        <w:jc w:val="center"/>
        <w:rPr>
          <w:rFonts w:ascii="宋体" w:hAnsi="宋体"/>
          <w:color w:val="000000"/>
          <w:sz w:val="32"/>
          <w:szCs w:val="32"/>
          <w:highlight w:val="none"/>
        </w:rPr>
      </w:pPr>
      <w:bookmarkStart w:id="0" w:name="_Toc20964"/>
      <w:bookmarkStart w:id="1" w:name="_Toc20007"/>
      <w:bookmarkStart w:id="2" w:name="_Toc32653"/>
      <w:bookmarkStart w:id="3" w:name="_Toc28388"/>
      <w:r>
        <w:rPr>
          <w:rFonts w:hint="eastAsia" w:ascii="宋体" w:hAnsi="宋体"/>
          <w:color w:val="000000"/>
          <w:sz w:val="32"/>
          <w:szCs w:val="32"/>
          <w:highlight w:val="none"/>
        </w:rPr>
        <w:t>第一章  招标公告</w:t>
      </w:r>
      <w:bookmarkEnd w:id="0"/>
      <w:bookmarkEnd w:id="1"/>
      <w:bookmarkEnd w:id="2"/>
      <w:bookmarkEnd w:id="3"/>
    </w:p>
    <w:p>
      <w:pPr>
        <w:shd w:val="clear" w:fill="auto"/>
        <w:spacing w:line="360" w:lineRule="auto"/>
        <w:ind w:firstLine="562" w:firstLineChars="200"/>
        <w:jc w:val="center"/>
        <w:rPr>
          <w:rFonts w:hint="eastAsia" w:ascii="宋体" w:hAnsi="宋体"/>
          <w:b/>
          <w:bCs/>
          <w:color w:val="000000"/>
          <w:sz w:val="28"/>
          <w:szCs w:val="28"/>
          <w:highlight w:val="none"/>
          <w:lang w:eastAsia="zh-CN"/>
        </w:rPr>
      </w:pPr>
      <w:r>
        <w:rPr>
          <w:rFonts w:hint="eastAsia" w:ascii="宋体" w:hAnsi="宋体"/>
          <w:b/>
          <w:bCs/>
          <w:color w:val="000000"/>
          <w:sz w:val="28"/>
          <w:szCs w:val="28"/>
          <w:highlight w:val="none"/>
          <w:lang w:eastAsia="zh-CN"/>
        </w:rPr>
        <w:t>郑州航空港经济综合实验区会展片区绿地整治工程</w:t>
      </w:r>
    </w:p>
    <w:p>
      <w:pPr>
        <w:shd w:val="clear" w:fill="auto"/>
        <w:spacing w:line="360" w:lineRule="auto"/>
        <w:ind w:firstLine="562" w:firstLineChars="200"/>
        <w:jc w:val="center"/>
        <w:rPr>
          <w:rFonts w:ascii="宋体" w:hAnsi="宋体"/>
          <w:b/>
          <w:bCs/>
          <w:color w:val="000000"/>
          <w:sz w:val="28"/>
          <w:szCs w:val="28"/>
          <w:highlight w:val="none"/>
        </w:rPr>
      </w:pPr>
      <w:r>
        <w:rPr>
          <w:rFonts w:hint="eastAsia" w:ascii="宋体" w:hAnsi="宋体"/>
          <w:b/>
          <w:bCs/>
          <w:color w:val="000000"/>
          <w:sz w:val="28"/>
          <w:szCs w:val="28"/>
          <w:highlight w:val="none"/>
        </w:rPr>
        <w:t>招标公告</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jc w:val="both"/>
        <w:textAlignment w:val="auto"/>
        <w:outlineLvl w:val="9"/>
        <w:rPr>
          <w:rFonts w:ascii="宋体" w:hAnsi="宋体"/>
          <w:color w:val="000000"/>
          <w:sz w:val="21"/>
          <w:szCs w:val="21"/>
          <w:highlight w:val="none"/>
        </w:rPr>
      </w:pPr>
      <w:r>
        <w:rPr>
          <w:rFonts w:ascii="宋体" w:hAnsi="宋体"/>
          <w:b/>
          <w:bCs/>
          <w:color w:val="000000"/>
          <w:sz w:val="21"/>
          <w:szCs w:val="21"/>
          <w:highlight w:val="none"/>
        </w:rPr>
        <w:t>1</w:t>
      </w:r>
      <w:r>
        <w:rPr>
          <w:rFonts w:hint="eastAsia" w:ascii="宋体" w:hAnsi="宋体"/>
          <w:b/>
          <w:bCs/>
          <w:color w:val="000000"/>
          <w:sz w:val="21"/>
          <w:szCs w:val="21"/>
          <w:highlight w:val="none"/>
        </w:rPr>
        <w:t>、</w:t>
      </w:r>
      <w:r>
        <w:rPr>
          <w:rFonts w:ascii="宋体" w:hAnsi="宋体"/>
          <w:b/>
          <w:bCs/>
          <w:color w:val="000000"/>
          <w:sz w:val="21"/>
          <w:szCs w:val="21"/>
          <w:highlight w:val="none"/>
        </w:rPr>
        <w:t>招标条件</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ascii="宋体" w:hAnsi="宋体"/>
          <w:color w:val="000000"/>
          <w:sz w:val="21"/>
          <w:szCs w:val="21"/>
          <w:highlight w:val="none"/>
        </w:rPr>
      </w:pPr>
      <w:r>
        <w:rPr>
          <w:rFonts w:hint="eastAsia" w:ascii="宋体" w:hAnsi="宋体"/>
          <w:color w:val="000000"/>
          <w:sz w:val="21"/>
          <w:szCs w:val="21"/>
          <w:highlight w:val="none"/>
        </w:rPr>
        <w:t>本招标项目郑州航空港经济综合实验区会展片区绿地整治工程已由郑州航空港经济综合实验区经济发展局（统计局）以</w:t>
      </w:r>
      <w:r>
        <w:rPr>
          <w:rFonts w:hint="eastAsia" w:ascii="宋体" w:hAnsi="宋体"/>
          <w:color w:val="000000"/>
          <w:sz w:val="21"/>
          <w:szCs w:val="21"/>
          <w:highlight w:val="none"/>
          <w:lang w:val="en-US" w:eastAsia="zh-CN"/>
        </w:rPr>
        <w:t>郑港经发</w:t>
      </w:r>
      <w:r>
        <w:rPr>
          <w:rFonts w:hint="eastAsia" w:ascii="宋体" w:hAnsi="宋体" w:eastAsia="宋体" w:cs="宋体"/>
          <w:color w:val="000000"/>
          <w:sz w:val="21"/>
          <w:szCs w:val="21"/>
          <w:highlight w:val="none"/>
          <w:lang w:val="en-US" w:eastAsia="zh-CN"/>
        </w:rPr>
        <w:t>投资【2024】81</w:t>
      </w:r>
      <w:r>
        <w:rPr>
          <w:rFonts w:hint="eastAsia" w:ascii="宋体" w:hAnsi="宋体" w:eastAsia="宋体" w:cs="宋体"/>
          <w:color w:val="000000"/>
          <w:sz w:val="21"/>
          <w:szCs w:val="21"/>
          <w:highlight w:val="none"/>
        </w:rPr>
        <w:t>号文批准</w:t>
      </w:r>
      <w:r>
        <w:rPr>
          <w:rFonts w:hint="eastAsia" w:ascii="宋体" w:hAnsi="宋体"/>
          <w:color w:val="000000"/>
          <w:sz w:val="21"/>
          <w:szCs w:val="21"/>
          <w:highlight w:val="none"/>
        </w:rPr>
        <w:t>建设，建设资金来自</w:t>
      </w:r>
      <w:r>
        <w:rPr>
          <w:rFonts w:hint="eastAsia" w:ascii="宋体" w:hAnsi="宋体"/>
          <w:color w:val="000000"/>
          <w:sz w:val="21"/>
          <w:szCs w:val="21"/>
          <w:highlight w:val="none"/>
          <w:lang w:eastAsia="zh-CN"/>
        </w:rPr>
        <w:t>财政</w:t>
      </w:r>
      <w:r>
        <w:rPr>
          <w:rFonts w:hint="eastAsia" w:ascii="宋体" w:hAnsi="宋体"/>
          <w:color w:val="000000"/>
          <w:sz w:val="21"/>
          <w:szCs w:val="21"/>
          <w:highlight w:val="none"/>
        </w:rPr>
        <w:t>资金</w:t>
      </w:r>
      <w:r>
        <w:rPr>
          <w:rFonts w:hint="eastAsia" w:ascii="宋体" w:hAnsi="宋体"/>
          <w:color w:val="000000"/>
          <w:sz w:val="21"/>
          <w:szCs w:val="21"/>
          <w:highlight w:val="none"/>
          <w:lang w:eastAsia="zh-CN"/>
        </w:rPr>
        <w:t>，</w:t>
      </w:r>
      <w:r>
        <w:rPr>
          <w:rFonts w:hint="eastAsia" w:ascii="宋体" w:hAnsi="宋体"/>
          <w:color w:val="000000"/>
          <w:sz w:val="21"/>
          <w:szCs w:val="21"/>
          <w:highlight w:val="none"/>
        </w:rPr>
        <w:t>项目出资比例为100%，资金已落实</w:t>
      </w:r>
      <w:r>
        <w:rPr>
          <w:rFonts w:hint="eastAsia" w:ascii="宋体" w:hAnsi="宋体"/>
          <w:color w:val="000000"/>
          <w:sz w:val="21"/>
          <w:szCs w:val="21"/>
          <w:highlight w:val="none"/>
          <w:lang w:eastAsia="zh-CN"/>
        </w:rPr>
        <w:t>。</w:t>
      </w:r>
      <w:r>
        <w:rPr>
          <w:rFonts w:hint="eastAsia" w:ascii="宋体" w:hAnsi="宋体"/>
          <w:color w:val="000000"/>
          <w:sz w:val="21"/>
          <w:szCs w:val="21"/>
          <w:highlight w:val="none"/>
        </w:rPr>
        <w:t>招标人为</w:t>
      </w:r>
      <w:r>
        <w:rPr>
          <w:rFonts w:hint="eastAsia" w:ascii="宋体" w:hAnsi="宋体"/>
          <w:color w:val="000000"/>
          <w:sz w:val="21"/>
          <w:szCs w:val="21"/>
          <w:highlight w:val="none"/>
          <w:lang w:eastAsia="zh-CN"/>
        </w:rPr>
        <w:t>郑州航空港经济综合实验区综合行政执法局（城市管理局）</w:t>
      </w:r>
      <w:r>
        <w:rPr>
          <w:rFonts w:hint="eastAsia" w:ascii="宋体" w:hAnsi="宋体"/>
          <w:color w:val="000000"/>
          <w:sz w:val="21"/>
          <w:szCs w:val="21"/>
          <w:highlight w:val="none"/>
        </w:rPr>
        <w:t>，招标代理机构为大成工程咨询有限公司。项目已具备招标条件，现对该项目进行</w:t>
      </w:r>
      <w:r>
        <w:rPr>
          <w:rFonts w:hint="eastAsia" w:ascii="宋体" w:hAnsi="宋体"/>
          <w:color w:val="000000"/>
          <w:sz w:val="21"/>
          <w:szCs w:val="21"/>
          <w:highlight w:val="none"/>
          <w:lang w:eastAsia="zh-CN"/>
        </w:rPr>
        <w:t>国内</w:t>
      </w:r>
      <w:r>
        <w:rPr>
          <w:rFonts w:hint="eastAsia" w:ascii="宋体" w:hAnsi="宋体"/>
          <w:color w:val="000000"/>
          <w:sz w:val="21"/>
          <w:szCs w:val="21"/>
          <w:highlight w:val="none"/>
        </w:rPr>
        <w:t>公开招标。</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jc w:val="both"/>
        <w:textAlignment w:val="auto"/>
        <w:outlineLvl w:val="9"/>
        <w:rPr>
          <w:rFonts w:ascii="宋体" w:hAnsi="宋体"/>
          <w:color w:val="000000"/>
          <w:sz w:val="21"/>
          <w:szCs w:val="21"/>
          <w:highlight w:val="none"/>
        </w:rPr>
      </w:pPr>
      <w:r>
        <w:rPr>
          <w:rFonts w:ascii="宋体" w:hAnsi="宋体"/>
          <w:b/>
          <w:bCs/>
          <w:color w:val="000000"/>
          <w:sz w:val="21"/>
          <w:szCs w:val="21"/>
          <w:highlight w:val="none"/>
        </w:rPr>
        <w:t>2、项目概况与本次招标范围</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ascii="宋体" w:hAnsi="宋体"/>
          <w:color w:val="000000"/>
          <w:sz w:val="21"/>
          <w:szCs w:val="21"/>
          <w:highlight w:val="none"/>
        </w:rPr>
      </w:pPr>
      <w:r>
        <w:rPr>
          <w:rFonts w:ascii="宋体" w:hAnsi="宋体"/>
          <w:color w:val="000000"/>
          <w:sz w:val="21"/>
          <w:szCs w:val="21"/>
          <w:highlight w:val="none"/>
        </w:rPr>
        <w:t>2.1</w:t>
      </w:r>
      <w:r>
        <w:rPr>
          <w:rFonts w:hint="eastAsia" w:ascii="宋体" w:hAnsi="宋体"/>
          <w:color w:val="000000"/>
          <w:sz w:val="21"/>
          <w:szCs w:val="21"/>
          <w:highlight w:val="none"/>
        </w:rPr>
        <w:t xml:space="preserve"> </w:t>
      </w:r>
      <w:r>
        <w:rPr>
          <w:rFonts w:ascii="宋体" w:hAnsi="宋体"/>
          <w:color w:val="000000"/>
          <w:sz w:val="21"/>
          <w:szCs w:val="21"/>
          <w:highlight w:val="none"/>
        </w:rPr>
        <w:t>项目名称：</w:t>
      </w:r>
      <w:r>
        <w:rPr>
          <w:rFonts w:hint="eastAsia" w:ascii="宋体" w:hAnsi="宋体"/>
          <w:color w:val="000000"/>
          <w:sz w:val="21"/>
          <w:szCs w:val="21"/>
          <w:highlight w:val="none"/>
          <w:lang w:eastAsia="zh-CN"/>
        </w:rPr>
        <w:t>郑州航空港经济综合实验区会展片区绿地整治工程；</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olor w:val="000000"/>
          <w:sz w:val="21"/>
          <w:szCs w:val="21"/>
          <w:highlight w:val="none"/>
          <w:lang w:eastAsia="zh-CN"/>
        </w:rPr>
      </w:pPr>
      <w:r>
        <w:rPr>
          <w:rFonts w:ascii="宋体" w:hAnsi="宋体"/>
          <w:color w:val="000000"/>
          <w:sz w:val="21"/>
          <w:szCs w:val="21"/>
          <w:highlight w:val="none"/>
        </w:rPr>
        <w:t>2.2</w:t>
      </w:r>
      <w:r>
        <w:rPr>
          <w:rFonts w:hint="eastAsia" w:ascii="宋体" w:hAnsi="宋体"/>
          <w:color w:val="000000"/>
          <w:sz w:val="21"/>
          <w:szCs w:val="21"/>
          <w:highlight w:val="none"/>
        </w:rPr>
        <w:t xml:space="preserve"> </w:t>
      </w:r>
      <w:r>
        <w:rPr>
          <w:rFonts w:ascii="宋体" w:hAnsi="宋体"/>
          <w:color w:val="000000"/>
          <w:sz w:val="21"/>
          <w:szCs w:val="21"/>
          <w:highlight w:val="none"/>
        </w:rPr>
        <w:t>建设地点：</w:t>
      </w:r>
      <w:r>
        <w:rPr>
          <w:rFonts w:hint="eastAsia" w:ascii="宋体" w:hAnsi="宋体"/>
          <w:color w:val="000000"/>
          <w:sz w:val="21"/>
          <w:szCs w:val="21"/>
          <w:highlight w:val="none"/>
          <w:lang w:eastAsia="zh-CN"/>
        </w:rPr>
        <w:t>郑州航空港经济综合实验区国际物流会展区滨河东路、迎宾大道、豫州大道、金陵大道围合区域</w:t>
      </w:r>
      <w:r>
        <w:rPr>
          <w:rFonts w:hint="eastAsia" w:ascii="宋体" w:hAnsi="宋体"/>
          <w:color w:val="000000"/>
          <w:highlight w:val="none"/>
          <w:lang w:eastAsia="zh-CN"/>
        </w:rPr>
        <w:t>；</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2.3项目概况：</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包含但不限于</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荆州路简易绿化面积约27.7万平方米</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孙武路、皛店路简易绿化面积约11.7万平方米</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滨河东路简易绿化面积约2.3万平方米</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亳都路简易绿化面积约9.5万平方米</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高铁站周边及匝道桥下简易绿化面积约0.29万平方米</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高铁站周边及匝道桥下临时绿化面积约14.60万平方米。总绿化面积约为66.09万平方米。包含绿化种植、灌溉</w:t>
      </w:r>
      <w:r>
        <w:rPr>
          <w:rFonts w:hint="eastAsia" w:ascii="宋体" w:hAnsi="宋体" w:cs="宋体"/>
          <w:sz w:val="21"/>
          <w:szCs w:val="21"/>
          <w:highlight w:val="none"/>
          <w:lang w:eastAsia="zh-CN"/>
        </w:rPr>
        <w:t>等</w:t>
      </w:r>
      <w:r>
        <w:rPr>
          <w:rFonts w:hint="eastAsia" w:ascii="宋体" w:hAnsi="宋体" w:eastAsia="宋体" w:cs="宋体"/>
          <w:sz w:val="21"/>
          <w:szCs w:val="21"/>
          <w:highlight w:val="none"/>
        </w:rPr>
        <w:t>。</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olor w:val="000000"/>
          <w:sz w:val="21"/>
          <w:szCs w:val="21"/>
          <w:highlight w:val="none"/>
          <w:lang w:eastAsia="zh-CN"/>
        </w:rPr>
      </w:pPr>
      <w:r>
        <w:rPr>
          <w:rFonts w:ascii="宋体" w:hAnsi="宋体"/>
          <w:color w:val="000000"/>
          <w:sz w:val="21"/>
          <w:szCs w:val="21"/>
          <w:highlight w:val="none"/>
        </w:rPr>
        <w:t>2.</w:t>
      </w:r>
      <w:r>
        <w:rPr>
          <w:rFonts w:hint="eastAsia" w:ascii="宋体" w:hAnsi="宋体"/>
          <w:color w:val="000000"/>
          <w:sz w:val="21"/>
          <w:szCs w:val="21"/>
          <w:highlight w:val="none"/>
          <w:lang w:val="en-US" w:eastAsia="zh-CN"/>
        </w:rPr>
        <w:t>4</w:t>
      </w:r>
      <w:r>
        <w:rPr>
          <w:rFonts w:hint="eastAsia" w:ascii="宋体" w:hAnsi="宋体"/>
          <w:color w:val="000000"/>
          <w:sz w:val="21"/>
          <w:szCs w:val="21"/>
          <w:highlight w:val="none"/>
        </w:rPr>
        <w:t xml:space="preserve"> </w:t>
      </w:r>
      <w:r>
        <w:rPr>
          <w:rFonts w:ascii="宋体" w:hAnsi="宋体"/>
          <w:color w:val="000000"/>
          <w:sz w:val="21"/>
          <w:szCs w:val="21"/>
          <w:highlight w:val="none"/>
        </w:rPr>
        <w:t>招标范围：</w:t>
      </w:r>
      <w:r>
        <w:rPr>
          <w:rFonts w:hint="eastAsia" w:ascii="宋体" w:hAnsi="宋体"/>
          <w:color w:val="000000"/>
          <w:sz w:val="21"/>
          <w:szCs w:val="21"/>
          <w:highlight w:val="none"/>
        </w:rPr>
        <w:t>施工图纸和工程量清单范围内的所有内容</w:t>
      </w:r>
      <w:r>
        <w:rPr>
          <w:rFonts w:hint="eastAsia" w:ascii="宋体" w:hAnsi="宋体" w:eastAsia="宋体" w:cs="宋体"/>
          <w:b w:val="0"/>
          <w:bCs/>
          <w:color w:val="auto"/>
          <w:spacing w:val="8"/>
          <w:szCs w:val="21"/>
          <w:highlight w:val="none"/>
          <w:lang w:eastAsia="zh-CN"/>
        </w:rPr>
        <w:t>；</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s="Times New Roman"/>
          <w:color w:val="000000"/>
          <w:sz w:val="21"/>
          <w:szCs w:val="21"/>
          <w:highlight w:val="none"/>
          <w:lang w:eastAsia="zh-CN"/>
        </w:rPr>
      </w:pPr>
      <w:r>
        <w:rPr>
          <w:rFonts w:hint="eastAsia" w:ascii="宋体" w:hAnsi="宋体" w:eastAsia="宋体" w:cs="Times New Roman"/>
          <w:color w:val="000000"/>
          <w:sz w:val="21"/>
          <w:szCs w:val="21"/>
          <w:highlight w:val="none"/>
        </w:rPr>
        <w:t>2.</w:t>
      </w:r>
      <w:r>
        <w:rPr>
          <w:rFonts w:hint="eastAsia" w:ascii="宋体" w:hAnsi="宋体" w:eastAsia="宋体" w:cs="Times New Roman"/>
          <w:color w:val="000000"/>
          <w:sz w:val="21"/>
          <w:szCs w:val="21"/>
          <w:highlight w:val="none"/>
          <w:lang w:val="en-US" w:eastAsia="zh-CN"/>
        </w:rPr>
        <w:t>5</w:t>
      </w:r>
      <w:r>
        <w:rPr>
          <w:rFonts w:hint="eastAsia" w:ascii="宋体" w:hAnsi="宋体" w:eastAsia="宋体" w:cs="Times New Roman"/>
          <w:color w:val="000000"/>
          <w:sz w:val="21"/>
          <w:szCs w:val="21"/>
          <w:highlight w:val="none"/>
        </w:rPr>
        <w:t xml:space="preserve"> 质量要求：合格</w:t>
      </w:r>
      <w:r>
        <w:rPr>
          <w:rFonts w:hint="eastAsia" w:ascii="宋体" w:hAnsi="宋体" w:eastAsia="宋体" w:cs="Times New Roman"/>
          <w:color w:val="000000"/>
          <w:sz w:val="21"/>
          <w:szCs w:val="21"/>
          <w:highlight w:val="none"/>
          <w:lang w:eastAsia="zh-CN"/>
        </w:rPr>
        <w:t>；</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color w:val="000000"/>
          <w:sz w:val="21"/>
          <w:szCs w:val="21"/>
          <w:highlight w:val="none"/>
        </w:rPr>
      </w:pPr>
      <w:r>
        <w:rPr>
          <w:rFonts w:ascii="宋体" w:hAnsi="宋体"/>
          <w:color w:val="000000"/>
          <w:sz w:val="21"/>
          <w:szCs w:val="21"/>
          <w:highlight w:val="none"/>
        </w:rPr>
        <w:t>2.</w:t>
      </w:r>
      <w:r>
        <w:rPr>
          <w:rFonts w:hint="eastAsia" w:ascii="宋体" w:hAnsi="宋体"/>
          <w:color w:val="000000"/>
          <w:sz w:val="21"/>
          <w:szCs w:val="21"/>
          <w:highlight w:val="none"/>
          <w:lang w:val="en-US" w:eastAsia="zh-CN"/>
        </w:rPr>
        <w:t>6</w:t>
      </w:r>
      <w:r>
        <w:rPr>
          <w:rFonts w:hint="eastAsia" w:ascii="宋体" w:hAnsi="宋体"/>
          <w:color w:val="000000"/>
          <w:sz w:val="21"/>
          <w:szCs w:val="21"/>
          <w:highlight w:val="none"/>
        </w:rPr>
        <w:t xml:space="preserve"> </w:t>
      </w:r>
      <w:r>
        <w:rPr>
          <w:rFonts w:ascii="宋体" w:hAnsi="宋体"/>
          <w:color w:val="000000"/>
          <w:sz w:val="21"/>
          <w:szCs w:val="21"/>
          <w:highlight w:val="none"/>
        </w:rPr>
        <w:t>工期要求：</w:t>
      </w:r>
      <w:r>
        <w:rPr>
          <w:rFonts w:hint="eastAsia" w:ascii="宋体" w:hAnsi="宋体" w:cs="宋体"/>
          <w:color w:val="auto"/>
          <w:sz w:val="21"/>
          <w:szCs w:val="21"/>
          <w:highlight w:val="none"/>
          <w:lang w:val="en-US" w:eastAsia="zh-CN"/>
        </w:rPr>
        <w:t>365日历天(其中：计划于2024年11月30日完成工程量的90%，剩余工程量的10%在2025年4月30日全部完工并达到验收标准。)</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7</w:t>
      </w:r>
      <w:r>
        <w:rPr>
          <w:rFonts w:hint="eastAsia" w:ascii="宋体" w:hAnsi="宋体"/>
          <w:color w:val="000000"/>
          <w:sz w:val="21"/>
          <w:szCs w:val="21"/>
          <w:highlight w:val="none"/>
        </w:rPr>
        <w:t xml:space="preserve"> </w:t>
      </w:r>
      <w:r>
        <w:rPr>
          <w:rFonts w:hint="eastAsia" w:ascii="宋体" w:hAnsi="宋体" w:eastAsia="宋体" w:cs="宋体"/>
          <w:sz w:val="21"/>
          <w:szCs w:val="21"/>
          <w:highlight w:val="none"/>
        </w:rPr>
        <w:t>标段划分：本项目共一个标段</w:t>
      </w:r>
      <w:r>
        <w:rPr>
          <w:rFonts w:hint="eastAsia" w:ascii="宋体" w:hAnsi="宋体" w:cs="宋体"/>
          <w:sz w:val="21"/>
          <w:szCs w:val="21"/>
          <w:highlight w:val="none"/>
          <w:lang w:eastAsia="zh-CN"/>
        </w:rPr>
        <w:t>。</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jc w:val="both"/>
        <w:textAlignment w:val="auto"/>
        <w:outlineLvl w:val="9"/>
        <w:rPr>
          <w:rFonts w:ascii="宋体" w:hAnsi="宋体"/>
          <w:color w:val="000000"/>
          <w:sz w:val="21"/>
          <w:szCs w:val="21"/>
          <w:highlight w:val="none"/>
        </w:rPr>
      </w:pPr>
      <w:r>
        <w:rPr>
          <w:rFonts w:ascii="宋体" w:hAnsi="宋体"/>
          <w:b/>
          <w:bCs/>
          <w:color w:val="000000"/>
          <w:sz w:val="21"/>
          <w:szCs w:val="21"/>
          <w:highlight w:val="none"/>
        </w:rPr>
        <w:t>3、投标人资格要求</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s="宋体"/>
          <w:color w:val="auto"/>
          <w:szCs w:val="21"/>
          <w:highlight w:val="none"/>
          <w:lang w:bidi="ar"/>
        </w:rPr>
      </w:pPr>
      <w:r>
        <w:rPr>
          <w:rFonts w:ascii="宋体" w:hAnsi="宋体"/>
          <w:color w:val="000000"/>
          <w:sz w:val="21"/>
          <w:szCs w:val="21"/>
          <w:highlight w:val="none"/>
        </w:rPr>
        <w:t>3.1</w:t>
      </w:r>
      <w:r>
        <w:rPr>
          <w:rFonts w:hint="eastAsia" w:ascii="宋体" w:hAnsi="宋体"/>
          <w:color w:val="000000"/>
          <w:sz w:val="21"/>
          <w:szCs w:val="21"/>
          <w:highlight w:val="none"/>
        </w:rPr>
        <w:t xml:space="preserve"> </w:t>
      </w:r>
      <w:r>
        <w:rPr>
          <w:rFonts w:hint="eastAsia" w:ascii="宋体" w:hAnsi="宋体"/>
          <w:color w:val="000000"/>
          <w:sz w:val="21"/>
          <w:szCs w:val="21"/>
          <w:highlight w:val="none"/>
          <w:lang w:eastAsia="zh-CN"/>
        </w:rPr>
        <w:t>投标人须在中华人民共和国境内注册具有独立法人资格，持有有效的企业法人营业执照</w:t>
      </w:r>
      <w:r>
        <w:rPr>
          <w:rFonts w:hint="eastAsia" w:ascii="宋体" w:hAnsi="宋体" w:eastAsia="宋体" w:cs="宋体"/>
          <w:color w:val="auto"/>
          <w:szCs w:val="21"/>
          <w:highlight w:val="none"/>
          <w:lang w:bidi="ar"/>
        </w:rPr>
        <w:t>；</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color w:val="000000"/>
          <w:sz w:val="21"/>
          <w:szCs w:val="21"/>
          <w:highlight w:val="none"/>
        </w:rPr>
      </w:pPr>
      <w:r>
        <w:rPr>
          <w:rFonts w:ascii="宋体" w:hAnsi="宋体"/>
          <w:color w:val="000000"/>
          <w:sz w:val="21"/>
          <w:szCs w:val="21"/>
          <w:highlight w:val="none"/>
        </w:rPr>
        <w:t>3.</w:t>
      </w: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 xml:space="preserve"> </w:t>
      </w:r>
      <w:r>
        <w:rPr>
          <w:rFonts w:hint="eastAsia" w:ascii="宋体" w:hAnsi="宋体" w:cs="宋体"/>
          <w:color w:val="auto"/>
          <w:sz w:val="21"/>
          <w:szCs w:val="21"/>
          <w:highlight w:val="none"/>
          <w:lang w:val="en-US" w:eastAsia="zh-CN"/>
        </w:rPr>
        <w:t>项目负责人要求</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投标人拟派项目负责人须具有市政公用工程专业壹级注册建造师证书</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具有有效的安全生产考核合格证</w:t>
      </w:r>
      <w:r>
        <w:rPr>
          <w:rFonts w:hint="eastAsia" w:ascii="宋体" w:hAnsi="宋体" w:eastAsia="宋体" w:cs="宋体"/>
          <w:color w:val="auto"/>
          <w:sz w:val="21"/>
          <w:szCs w:val="21"/>
          <w:highlight w:val="none"/>
        </w:rPr>
        <w:t>，提供项目负责人本人的劳动合同及投标人为其缴纳的社会保险证明（由当地社保部门出具的查询明细表并加盖社保部门印章，或个人、集体对账单，或具有同等效用的网上查询打印页的单位整体缴纳清单或个人缴费明细表，除此之外的证明无效）；</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3.3</w:t>
      </w:r>
      <w:r>
        <w:rPr>
          <w:rFonts w:hint="eastAsia" w:ascii="宋体" w:hAnsi="宋体"/>
          <w:b/>
          <w:bCs/>
          <w:color w:val="000000"/>
          <w:sz w:val="21"/>
          <w:szCs w:val="21"/>
          <w:highlight w:val="none"/>
        </w:rPr>
        <w:t>业绩要求：</w:t>
      </w:r>
      <w:r>
        <w:rPr>
          <w:rFonts w:hint="eastAsia" w:ascii="宋体" w:hAnsi="宋体"/>
          <w:color w:val="000000"/>
          <w:sz w:val="21"/>
          <w:szCs w:val="21"/>
          <w:highlight w:val="none"/>
        </w:rPr>
        <w:t>投标人</w:t>
      </w:r>
      <w:r>
        <w:rPr>
          <w:rFonts w:hint="eastAsia" w:ascii="宋体" w:hAnsi="宋体"/>
          <w:color w:val="000000"/>
          <w:sz w:val="21"/>
          <w:szCs w:val="21"/>
          <w:highlight w:val="none"/>
          <w:lang w:eastAsia="zh-CN"/>
        </w:rPr>
        <w:t>自2019年1月1日以来具有类似项目业绩</w:t>
      </w:r>
      <w:r>
        <w:rPr>
          <w:rFonts w:hint="eastAsia" w:ascii="宋体" w:hAnsi="宋体"/>
          <w:color w:val="000000"/>
          <w:sz w:val="21"/>
          <w:szCs w:val="21"/>
          <w:highlight w:val="none"/>
        </w:rPr>
        <w:t>（以合同签订日期为准，须提供合同协议书</w:t>
      </w:r>
      <w:r>
        <w:rPr>
          <w:rFonts w:hint="eastAsia" w:ascii="宋体" w:hAnsi="宋体"/>
          <w:color w:val="000000"/>
          <w:sz w:val="21"/>
          <w:szCs w:val="21"/>
          <w:highlight w:val="none"/>
          <w:lang w:val="en-US" w:eastAsia="zh-CN"/>
        </w:rPr>
        <w:t>)</w:t>
      </w:r>
      <w:r>
        <w:rPr>
          <w:rFonts w:hint="eastAsia" w:ascii="宋体" w:hAnsi="宋体"/>
          <w:color w:val="000000"/>
          <w:sz w:val="21"/>
          <w:szCs w:val="21"/>
          <w:highlight w:val="none"/>
          <w:lang w:eastAsia="zh-CN"/>
        </w:rPr>
        <w:t>；</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3.4财务要求：企业没有被接管、冻结、破产状态，提供近三年（2020年度、2021年度、2022年度）经审计过的财务审计报告或财务报表（若企业成立年份不足三年的，则以企业成立年份向后推算，提供相应年份的经审计合格的财务审计报告或财务报表）；</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color w:val="000000"/>
          <w:sz w:val="21"/>
          <w:szCs w:val="21"/>
          <w:highlight w:val="none"/>
        </w:rPr>
      </w:pPr>
      <w:r>
        <w:rPr>
          <w:rFonts w:hint="eastAsia" w:ascii="宋体" w:hAnsi="宋体"/>
          <w:color w:val="000000"/>
          <w:sz w:val="21"/>
          <w:szCs w:val="21"/>
          <w:highlight w:val="none"/>
        </w:rPr>
        <w:t>3.</w:t>
      </w: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信誉要求：</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color w:val="000000"/>
          <w:sz w:val="21"/>
          <w:szCs w:val="21"/>
          <w:highlight w:val="none"/>
        </w:rPr>
      </w:pPr>
      <w:r>
        <w:rPr>
          <w:rFonts w:hint="eastAsia" w:ascii="宋体" w:hAnsi="宋体"/>
          <w:color w:val="000000"/>
          <w:sz w:val="21"/>
          <w:szCs w:val="21"/>
          <w:highlight w:val="none"/>
        </w:rPr>
        <w:t>3.</w:t>
      </w: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.1投标人须具备良好的社会信誉，没有处于被责令停产、停业或者投标资格被暂停、取消状态，最近三年内未发生骗取中标，未发生严重违约或重大工程质量问题；在最近三年内投标人、 投标人法定代表人、拟派</w:t>
      </w:r>
      <w:r>
        <w:rPr>
          <w:rFonts w:hint="eastAsia" w:ascii="宋体" w:hAnsi="宋体"/>
          <w:color w:val="000000"/>
          <w:sz w:val="21"/>
          <w:szCs w:val="21"/>
          <w:highlight w:val="none"/>
          <w:lang w:eastAsia="zh-CN"/>
        </w:rPr>
        <w:t>项目负责人</w:t>
      </w:r>
      <w:r>
        <w:rPr>
          <w:rFonts w:hint="eastAsia" w:ascii="宋体" w:hAnsi="宋体"/>
          <w:color w:val="000000"/>
          <w:sz w:val="21"/>
          <w:szCs w:val="21"/>
          <w:highlight w:val="none"/>
        </w:rPr>
        <w:t>均没有行贿犯罪行为记录,以书面承诺为准；</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eastAsia="zh-CN"/>
        </w:rPr>
        <w:t>注：最近三年是指该项目投标截止之日起往前顺推三年，以事实实际发生的时间为准。</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color w:val="000000"/>
          <w:sz w:val="21"/>
          <w:szCs w:val="21"/>
          <w:highlight w:val="none"/>
        </w:rPr>
      </w:pPr>
      <w:r>
        <w:rPr>
          <w:rFonts w:hint="eastAsia" w:ascii="宋体" w:hAnsi="宋体"/>
          <w:color w:val="000000"/>
          <w:sz w:val="21"/>
          <w:szCs w:val="21"/>
          <w:highlight w:val="none"/>
        </w:rPr>
        <w:t>3.</w:t>
      </w: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.2投标人需提供在“信用中国”网站（www.creditchina.gov.cn）或“中国执行信息公开网”网站（http://zxgk.court.gov.cn/shixin/）查询相关主体（含投标人、法定代表人、</w:t>
      </w:r>
      <w:r>
        <w:rPr>
          <w:rFonts w:hint="eastAsia" w:ascii="宋体" w:hAnsi="宋体"/>
          <w:color w:val="000000"/>
          <w:sz w:val="21"/>
          <w:szCs w:val="21"/>
          <w:highlight w:val="none"/>
          <w:lang w:val="en-US" w:eastAsia="zh-CN"/>
        </w:rPr>
        <w:t>项目</w:t>
      </w:r>
      <w:r>
        <w:rPr>
          <w:rFonts w:hint="eastAsia" w:ascii="宋体" w:hAnsi="宋体"/>
          <w:color w:val="000000"/>
          <w:sz w:val="21"/>
          <w:szCs w:val="21"/>
          <w:highlight w:val="none"/>
          <w:lang w:eastAsia="zh-CN"/>
        </w:rPr>
        <w:t>负责人</w:t>
      </w:r>
      <w:r>
        <w:rPr>
          <w:rFonts w:hint="eastAsia" w:ascii="宋体" w:hAnsi="宋体"/>
          <w:color w:val="000000"/>
          <w:sz w:val="21"/>
          <w:szCs w:val="21"/>
          <w:highlight w:val="none"/>
        </w:rPr>
        <w:t>、被授权委托人）未列入失信被执行人查询信息，若被列入失信被执行人名单，拒绝其参与本次投标活动，其投标无效。查询结果需显示查询时的日期，查询时的日期须在招标公告发布之日后，投标截止时间前；</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olor w:val="000000"/>
          <w:sz w:val="21"/>
          <w:szCs w:val="21"/>
          <w:highlight w:val="none"/>
          <w:lang w:eastAsia="zh-CN"/>
        </w:rPr>
      </w:pPr>
      <w:r>
        <w:rPr>
          <w:rFonts w:hint="eastAsia" w:ascii="宋体" w:hAnsi="宋体" w:eastAsia="宋体"/>
          <w:color w:val="000000"/>
          <w:sz w:val="21"/>
          <w:szCs w:val="21"/>
          <w:highlight w:val="none"/>
          <w:lang w:eastAsia="zh-CN"/>
        </w:rPr>
        <w:t>3.6其他要求：单位负责人（指单位的法定代表人或者法律、行政法规规定代表单位行使职权的主要负责人）为同一人、或者存在控股（指持有股份占公司股本总额的50%以上的绝对控股、相对控股或协议控股）、管理关系（指不具有出资持股关系的其它单位之间存在的管理与被管理关系，如一些事业单位）的不同单位，均不得同时参加本项目投标。（投标人需出具声明函）。</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olor w:val="000000"/>
          <w:sz w:val="21"/>
          <w:szCs w:val="21"/>
          <w:highlight w:val="none"/>
          <w:lang w:eastAsia="zh-CN"/>
        </w:rPr>
      </w:pPr>
      <w:r>
        <w:rPr>
          <w:rFonts w:hint="eastAsia" w:ascii="宋体" w:hAnsi="宋体" w:eastAsia="宋体"/>
          <w:color w:val="000000"/>
          <w:sz w:val="21"/>
          <w:szCs w:val="21"/>
          <w:highlight w:val="none"/>
          <w:lang w:eastAsia="zh-CN"/>
        </w:rPr>
        <w:t>3.7本次招标</w:t>
      </w:r>
      <w:r>
        <w:rPr>
          <w:rFonts w:hint="eastAsia" w:ascii="宋体" w:hAnsi="宋体"/>
          <w:color w:val="000000"/>
          <w:sz w:val="21"/>
          <w:szCs w:val="21"/>
          <w:highlight w:val="none"/>
          <w:lang w:val="en-US" w:eastAsia="zh-CN"/>
        </w:rPr>
        <w:t>不</w:t>
      </w:r>
      <w:r>
        <w:rPr>
          <w:rFonts w:hint="eastAsia" w:ascii="宋体" w:hAnsi="宋体" w:eastAsia="宋体"/>
          <w:color w:val="000000"/>
          <w:sz w:val="21"/>
          <w:szCs w:val="21"/>
          <w:highlight w:val="none"/>
          <w:lang w:eastAsia="zh-CN"/>
        </w:rPr>
        <w:t>接受联合体投标。</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jc w:val="both"/>
        <w:textAlignment w:val="auto"/>
        <w:outlineLvl w:val="9"/>
        <w:rPr>
          <w:rFonts w:ascii="宋体" w:hAnsi="宋体"/>
          <w:color w:val="000000"/>
          <w:sz w:val="21"/>
          <w:szCs w:val="21"/>
          <w:highlight w:val="none"/>
        </w:rPr>
      </w:pPr>
      <w:r>
        <w:rPr>
          <w:rFonts w:ascii="宋体" w:hAnsi="宋体"/>
          <w:b/>
          <w:bCs/>
          <w:color w:val="000000"/>
          <w:sz w:val="21"/>
          <w:szCs w:val="21"/>
          <w:highlight w:val="none"/>
        </w:rPr>
        <w:t>4、</w:t>
      </w:r>
      <w:r>
        <w:rPr>
          <w:rFonts w:hint="eastAsia" w:ascii="宋体" w:hAnsi="宋体"/>
          <w:b/>
          <w:bCs/>
          <w:color w:val="000000"/>
          <w:sz w:val="21"/>
          <w:szCs w:val="21"/>
          <w:highlight w:val="none"/>
        </w:rPr>
        <w:t>招标文件的获取</w:t>
      </w:r>
    </w:p>
    <w:p>
      <w:pPr>
        <w:keepNext w:val="0"/>
        <w:keepLines w:val="0"/>
        <w:pageBreakBefore w:val="0"/>
        <w:widowControl w:val="0"/>
        <w:shd w:val="clear" w:fill="auto"/>
        <w:kinsoku/>
        <w:wordWrap/>
        <w:overflowPunct/>
        <w:topLinePunct w:val="0"/>
        <w:autoSpaceDE/>
        <w:autoSpaceDN/>
        <w:bidi w:val="0"/>
        <w:adjustRightInd/>
        <w:snapToGrid/>
        <w:spacing w:line="440" w:lineRule="exact"/>
        <w:ind w:left="0" w:leftChars="0" w:firstLine="420" w:firstLineChars="200"/>
        <w:textAlignment w:val="auto"/>
        <w:outlineLvl w:val="9"/>
        <w:rPr>
          <w:rFonts w:hint="eastAsia" w:ascii="宋体" w:hAnsi="宋体" w:eastAsia="宋体" w:cs="宋体"/>
          <w:sz w:val="21"/>
          <w:szCs w:val="21"/>
          <w:highlight w:val="none"/>
        </w:rPr>
      </w:pPr>
      <w:r>
        <w:rPr>
          <w:rFonts w:hint="eastAsia" w:ascii="宋体" w:hAnsi="宋体"/>
          <w:color w:val="000000"/>
          <w:sz w:val="21"/>
          <w:szCs w:val="21"/>
          <w:highlight w:val="none"/>
        </w:rPr>
        <w:t>凡有意参加投标者，请于</w:t>
      </w:r>
      <w:r>
        <w:rPr>
          <w:rFonts w:ascii="宋体" w:hAnsi="宋体"/>
          <w:color w:val="000000"/>
          <w:sz w:val="21"/>
          <w:szCs w:val="21"/>
          <w:highlight w:val="none"/>
        </w:rPr>
        <w:t>20</w:t>
      </w:r>
      <w:r>
        <w:rPr>
          <w:rFonts w:hint="eastAsia" w:ascii="宋体" w:hAnsi="宋体"/>
          <w:color w:val="000000"/>
          <w:sz w:val="21"/>
          <w:szCs w:val="21"/>
          <w:highlight w:val="none"/>
          <w:lang w:val="en-US" w:eastAsia="zh-CN"/>
        </w:rPr>
        <w:t>24</w:t>
      </w:r>
      <w:r>
        <w:rPr>
          <w:rFonts w:ascii="宋体" w:hAnsi="宋体"/>
          <w:color w:val="000000"/>
          <w:sz w:val="21"/>
          <w:szCs w:val="21"/>
          <w:highlight w:val="none"/>
        </w:rPr>
        <w:t>年</w:t>
      </w:r>
      <w:r>
        <w:rPr>
          <w:rFonts w:hint="eastAsia" w:ascii="宋体" w:hAnsi="宋体"/>
          <w:color w:val="000000"/>
          <w:sz w:val="21"/>
          <w:szCs w:val="21"/>
          <w:highlight w:val="none"/>
          <w:lang w:val="en-US" w:eastAsia="zh-CN"/>
        </w:rPr>
        <w:t xml:space="preserve">  </w:t>
      </w:r>
      <w:r>
        <w:rPr>
          <w:rFonts w:ascii="宋体" w:hAnsi="宋体"/>
          <w:color w:val="000000"/>
          <w:sz w:val="21"/>
          <w:szCs w:val="21"/>
          <w:highlight w:val="none"/>
        </w:rPr>
        <w:t>月</w:t>
      </w:r>
      <w:r>
        <w:rPr>
          <w:rFonts w:hint="eastAsia" w:ascii="宋体" w:hAnsi="宋体"/>
          <w:color w:val="000000"/>
          <w:sz w:val="21"/>
          <w:szCs w:val="21"/>
          <w:highlight w:val="none"/>
          <w:lang w:val="en-US" w:eastAsia="zh-CN"/>
        </w:rPr>
        <w:t xml:space="preserve">  </w:t>
      </w:r>
      <w:r>
        <w:rPr>
          <w:rFonts w:ascii="宋体" w:hAnsi="宋体"/>
          <w:color w:val="000000"/>
          <w:sz w:val="21"/>
          <w:szCs w:val="21"/>
          <w:highlight w:val="none"/>
        </w:rPr>
        <w:t>日</w:t>
      </w:r>
      <w:r>
        <w:rPr>
          <w:rFonts w:hint="eastAsia" w:ascii="宋体" w:hAnsi="宋体" w:eastAsia="宋体" w:cs="宋体"/>
          <w:color w:val="auto"/>
          <w:sz w:val="21"/>
          <w:szCs w:val="21"/>
          <w:highlight w:val="none"/>
        </w:rPr>
        <w:t>9时00分</w:t>
      </w:r>
      <w:r>
        <w:rPr>
          <w:rFonts w:ascii="宋体" w:hAnsi="宋体"/>
          <w:color w:val="000000"/>
          <w:sz w:val="21"/>
          <w:szCs w:val="21"/>
          <w:highlight w:val="none"/>
        </w:rPr>
        <w:t>至20</w:t>
      </w:r>
      <w:r>
        <w:rPr>
          <w:rFonts w:hint="eastAsia" w:ascii="宋体" w:hAnsi="宋体"/>
          <w:color w:val="000000"/>
          <w:sz w:val="21"/>
          <w:szCs w:val="21"/>
          <w:highlight w:val="none"/>
          <w:lang w:val="en-US" w:eastAsia="zh-CN"/>
        </w:rPr>
        <w:t>24</w:t>
      </w:r>
      <w:r>
        <w:rPr>
          <w:rFonts w:ascii="宋体" w:hAnsi="宋体"/>
          <w:color w:val="000000"/>
          <w:sz w:val="21"/>
          <w:szCs w:val="21"/>
          <w:highlight w:val="none"/>
        </w:rPr>
        <w:t>年</w:t>
      </w:r>
      <w:r>
        <w:rPr>
          <w:rFonts w:hint="eastAsia" w:ascii="宋体" w:hAnsi="宋体"/>
          <w:color w:val="000000"/>
          <w:sz w:val="21"/>
          <w:szCs w:val="21"/>
          <w:highlight w:val="none"/>
          <w:lang w:val="en-US" w:eastAsia="zh-CN"/>
        </w:rPr>
        <w:t xml:space="preserve">  </w:t>
      </w:r>
      <w:r>
        <w:rPr>
          <w:rFonts w:ascii="宋体" w:hAnsi="宋体"/>
          <w:color w:val="000000"/>
          <w:sz w:val="21"/>
          <w:szCs w:val="21"/>
          <w:highlight w:val="none"/>
        </w:rPr>
        <w:t>月</w:t>
      </w:r>
      <w:r>
        <w:rPr>
          <w:rFonts w:hint="eastAsia" w:ascii="宋体" w:hAnsi="宋体"/>
          <w:color w:val="000000"/>
          <w:sz w:val="21"/>
          <w:szCs w:val="21"/>
          <w:highlight w:val="none"/>
          <w:lang w:val="en-US" w:eastAsia="zh-CN"/>
        </w:rPr>
        <w:t xml:space="preserve">  </w:t>
      </w:r>
      <w:r>
        <w:rPr>
          <w:rFonts w:ascii="宋体" w:hAnsi="宋体"/>
          <w:color w:val="000000"/>
          <w:sz w:val="21"/>
          <w:szCs w:val="21"/>
          <w:highlight w:val="none"/>
        </w:rPr>
        <w:t>日</w:t>
      </w:r>
      <w:r>
        <w:rPr>
          <w:rFonts w:hint="eastAsia" w:ascii="宋体" w:hAnsi="宋体"/>
          <w:color w:val="000000"/>
          <w:sz w:val="21"/>
          <w:szCs w:val="21"/>
          <w:highlight w:val="none"/>
        </w:rPr>
        <w:t>17时00分(北京时间，节假日除外）</w:t>
      </w:r>
      <w:r>
        <w:rPr>
          <w:rFonts w:ascii="宋体" w:hAnsi="宋体"/>
          <w:color w:val="000000"/>
          <w:sz w:val="21"/>
          <w:szCs w:val="21"/>
          <w:highlight w:val="none"/>
        </w:rPr>
        <w:t>，</w:t>
      </w:r>
      <w:r>
        <w:rPr>
          <w:rFonts w:hint="eastAsia" w:ascii="宋体" w:hAnsi="宋体"/>
          <w:color w:val="000000"/>
          <w:sz w:val="21"/>
          <w:szCs w:val="21"/>
          <w:highlight w:val="none"/>
        </w:rPr>
        <w:t>登陆“郑州航空港经济综合实验区（郑州新郑综合保税区）公共资源交易中心（www.zzhkgggzy.cn）”网站,完成“CA数字证书办理”及市场主体信息库登记”后，凭CA数字证书参与招标文件下载等交易活动，具体操作事宜详见中心网站“公共服务一办事指南”栏目内《市场主体信息库申报须知》。</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jc w:val="both"/>
        <w:textAlignment w:val="auto"/>
        <w:outlineLvl w:val="9"/>
        <w:rPr>
          <w:rFonts w:ascii="宋体" w:hAnsi="宋体"/>
          <w:color w:val="000000"/>
          <w:sz w:val="21"/>
          <w:szCs w:val="21"/>
          <w:highlight w:val="none"/>
        </w:rPr>
      </w:pPr>
      <w:r>
        <w:rPr>
          <w:rFonts w:ascii="宋体" w:hAnsi="宋体"/>
          <w:b/>
          <w:bCs/>
          <w:color w:val="000000"/>
          <w:sz w:val="21"/>
          <w:szCs w:val="21"/>
          <w:highlight w:val="none"/>
        </w:rPr>
        <w:t>5、</w:t>
      </w:r>
      <w:r>
        <w:rPr>
          <w:rFonts w:hint="eastAsia" w:ascii="宋体" w:hAnsi="宋体" w:eastAsia="宋体" w:cs="宋体"/>
          <w:b/>
          <w:bCs/>
          <w:color w:val="auto"/>
          <w:sz w:val="21"/>
          <w:szCs w:val="21"/>
          <w:highlight w:val="none"/>
        </w:rPr>
        <w:t>投标文件的上传与递交</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5.1 投标文件递交的截止时间（投标截止时间，下同）为202</w:t>
      </w:r>
      <w:r>
        <w:rPr>
          <w:rFonts w:hint="eastAsia" w:ascii="宋体" w:hAnsi="宋体" w:cs="Times New Roman"/>
          <w:color w:val="000000"/>
          <w:kern w:val="2"/>
          <w:sz w:val="21"/>
          <w:szCs w:val="21"/>
          <w:highlight w:val="none"/>
          <w:lang w:val="en-US" w:eastAsia="zh-CN" w:bidi="ar-SA"/>
        </w:rPr>
        <w:t>4</w:t>
      </w:r>
      <w:r>
        <w:rPr>
          <w:rFonts w:hint="eastAsia" w:ascii="宋体" w:hAnsi="宋体" w:eastAsia="宋体" w:cs="Times New Roman"/>
          <w:color w:val="000000"/>
          <w:kern w:val="2"/>
          <w:sz w:val="21"/>
          <w:szCs w:val="21"/>
          <w:highlight w:val="none"/>
          <w:lang w:val="en-US" w:eastAsia="zh-CN" w:bidi="ar-SA"/>
        </w:rPr>
        <w:t>年</w:t>
      </w:r>
      <w:r>
        <w:rPr>
          <w:rFonts w:hint="eastAsia" w:ascii="宋体" w:hAnsi="宋体" w:cs="Times New Roman"/>
          <w:color w:val="000000"/>
          <w:kern w:val="2"/>
          <w:sz w:val="21"/>
          <w:szCs w:val="21"/>
          <w:highlight w:val="none"/>
          <w:lang w:val="en-US" w:eastAsia="zh-CN" w:bidi="ar-SA"/>
        </w:rPr>
        <w:t xml:space="preserve">  </w:t>
      </w:r>
      <w:r>
        <w:rPr>
          <w:rFonts w:hint="eastAsia" w:ascii="宋体" w:hAnsi="宋体" w:eastAsia="宋体" w:cs="Times New Roman"/>
          <w:color w:val="000000"/>
          <w:kern w:val="2"/>
          <w:sz w:val="21"/>
          <w:szCs w:val="21"/>
          <w:highlight w:val="none"/>
          <w:lang w:val="en-US" w:eastAsia="zh-CN" w:bidi="ar-SA"/>
        </w:rPr>
        <w:t>月</w:t>
      </w:r>
      <w:r>
        <w:rPr>
          <w:rFonts w:hint="eastAsia" w:ascii="宋体" w:hAnsi="宋体" w:cs="Times New Roman"/>
          <w:color w:val="000000"/>
          <w:kern w:val="2"/>
          <w:sz w:val="21"/>
          <w:szCs w:val="21"/>
          <w:highlight w:val="none"/>
          <w:lang w:val="en-US" w:eastAsia="zh-CN" w:bidi="ar-SA"/>
        </w:rPr>
        <w:t xml:space="preserve">  </w:t>
      </w:r>
      <w:r>
        <w:rPr>
          <w:rFonts w:hint="eastAsia" w:ascii="宋体" w:hAnsi="宋体" w:eastAsia="宋体" w:cs="Times New Roman"/>
          <w:color w:val="000000"/>
          <w:kern w:val="2"/>
          <w:sz w:val="21"/>
          <w:szCs w:val="21"/>
          <w:highlight w:val="none"/>
          <w:lang w:val="en-US" w:eastAsia="zh-CN" w:bidi="ar-SA"/>
        </w:rPr>
        <w:t>日上午9:00分，投标人应在截止时间前通过郑州航空港经济综合实验区（郑州新郑综合保税区）公共资源交易中心电子招标投标交易平台（www.zzhkgggzy.cn）递交（上传）电子投标文件；</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5.2逾期送达（上传）的投标文件，电子招标投标交易平台将予以拒收；</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ascii="宋体" w:hAnsi="宋体"/>
          <w:color w:val="000000"/>
          <w:sz w:val="21"/>
          <w:szCs w:val="21"/>
          <w:highlight w:val="none"/>
        </w:rPr>
      </w:pPr>
      <w:r>
        <w:rPr>
          <w:rFonts w:hint="eastAsia" w:ascii="宋体" w:hAnsi="宋体" w:eastAsia="宋体" w:cs="Times New Roman"/>
          <w:color w:val="000000"/>
          <w:kern w:val="2"/>
          <w:sz w:val="21"/>
          <w:szCs w:val="21"/>
          <w:highlight w:val="none"/>
          <w:lang w:val="en-US" w:eastAsia="zh-CN" w:bidi="ar-SA"/>
        </w:rPr>
        <w:t>5.3本项目采用“远程不见面”开标方式。投标人无需到开标现场参加开标会议，不再要求投标人到达现场提交任何资料。不见面开标的具体事宜请查阅郑州航空港经济综合实验区（郑州新郑综合保税区）公共资源交易中心网站“公共服务--下载专区 ”栏目内《郑州航空港经济综合实验区公共资源交易中心不见面开标大厅操作手册》。投标人应当在投标截止时间前，做好不见面开标的准备工作，否则由此可能引起的解密失败或无法解密等问题由投标人自行承担。</w:t>
      </w:r>
    </w:p>
    <w:p>
      <w:pPr>
        <w:keepNext w:val="0"/>
        <w:keepLines w:val="0"/>
        <w:pageBreakBefore w:val="0"/>
        <w:shd w:val="clear" w:fill="auto"/>
        <w:kinsoku/>
        <w:wordWrap/>
        <w:overflowPunct/>
        <w:topLinePunct w:val="0"/>
        <w:autoSpaceDE/>
        <w:autoSpaceDN/>
        <w:bidi w:val="0"/>
        <w:adjustRightInd/>
        <w:snapToGrid/>
        <w:spacing w:beforeAutospacing="0" w:afterAutospacing="0" w:line="440" w:lineRule="exact"/>
        <w:ind w:left="0" w:leftChars="0"/>
        <w:jc w:val="both"/>
        <w:textAlignment w:val="auto"/>
        <w:outlineLvl w:val="9"/>
        <w:rPr>
          <w:rFonts w:hint="eastAsia" w:ascii="宋体" w:hAnsi="宋体" w:eastAsia="宋体" w:cs="宋体"/>
          <w:b/>
          <w:bCs/>
          <w:sz w:val="21"/>
          <w:szCs w:val="21"/>
          <w:highlight w:val="none"/>
          <w:lang w:val="en-US" w:eastAsia="zh-CN" w:bidi="ar-SA"/>
        </w:rPr>
      </w:pPr>
      <w:r>
        <w:rPr>
          <w:rFonts w:hint="eastAsia" w:ascii="宋体" w:hAnsi="宋体" w:eastAsia="宋体" w:cs="宋体"/>
          <w:b/>
          <w:bCs/>
          <w:sz w:val="21"/>
          <w:szCs w:val="21"/>
          <w:highlight w:val="none"/>
          <w:lang w:val="en-US" w:eastAsia="zh-CN" w:bidi="ar-SA"/>
        </w:rPr>
        <w:t>6. 开标有关信息：</w:t>
      </w:r>
    </w:p>
    <w:p>
      <w:pPr>
        <w:pStyle w:val="24"/>
        <w:keepNext w:val="0"/>
        <w:keepLines w:val="0"/>
        <w:pageBreakBefore w:val="0"/>
        <w:shd w:val="clear" w:fill="auto"/>
        <w:kinsoku/>
        <w:wordWrap/>
        <w:overflowPunct/>
        <w:topLinePunct w:val="0"/>
        <w:autoSpaceDE/>
        <w:autoSpaceDN/>
        <w:bidi w:val="0"/>
        <w:adjustRightInd/>
        <w:snapToGrid/>
        <w:spacing w:before="0" w:beforeLines="0" w:beforeAutospacing="0" w:after="0" w:afterLines="0" w:afterAutospacing="0" w:line="440" w:lineRule="exact"/>
        <w:ind w:left="0" w:leftChars="0" w:firstLine="482"/>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6.1开标时间：同投标文件递交截止时间；</w:t>
      </w:r>
    </w:p>
    <w:p>
      <w:pPr>
        <w:pStyle w:val="24"/>
        <w:keepNext w:val="0"/>
        <w:keepLines w:val="0"/>
        <w:pageBreakBefore w:val="0"/>
        <w:shd w:val="clear" w:fill="auto"/>
        <w:kinsoku/>
        <w:wordWrap/>
        <w:overflowPunct/>
        <w:topLinePunct w:val="0"/>
        <w:autoSpaceDE/>
        <w:autoSpaceDN/>
        <w:bidi w:val="0"/>
        <w:adjustRightInd/>
        <w:snapToGrid/>
        <w:spacing w:before="0" w:beforeLines="0" w:beforeAutospacing="0" w:after="0" w:afterLines="0" w:afterAutospacing="0" w:line="440" w:lineRule="exact"/>
        <w:ind w:left="0" w:leftChars="0" w:firstLine="482"/>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6.2开标地点：“远程不见面”开标方式，投标人应当在招标文件确定的投标截止时间前，登录远程开标大厅，在线准时参加开标活动并进行文件解密、答疑澄清等；</w:t>
      </w:r>
    </w:p>
    <w:p>
      <w:pPr>
        <w:keepNext w:val="0"/>
        <w:keepLines w:val="0"/>
        <w:pageBreakBefore w:val="0"/>
        <w:shd w:val="clear" w:fill="auto"/>
        <w:kinsoku/>
        <w:wordWrap/>
        <w:overflowPunct/>
        <w:topLinePunct w:val="0"/>
        <w:autoSpaceDE/>
        <w:autoSpaceDN/>
        <w:bidi w:val="0"/>
        <w:adjustRightInd/>
        <w:snapToGrid/>
        <w:spacing w:beforeAutospacing="0" w:afterAutospacing="0" w:line="440" w:lineRule="exact"/>
        <w:ind w:left="0" w:leftChars="0" w:firstLine="482"/>
        <w:jc w:val="both"/>
        <w:textAlignment w:val="auto"/>
        <w:outlineLvl w:val="9"/>
        <w:rPr>
          <w:rFonts w:hint="eastAsia" w:ascii="宋体" w:hAnsi="宋体" w:eastAsia="宋体" w:cs="宋体"/>
          <w:sz w:val="21"/>
          <w:szCs w:val="21"/>
          <w:highlight w:val="none"/>
          <w:lang w:val="en-US" w:eastAsia="zh-CN" w:bidi="ar-SA"/>
        </w:rPr>
      </w:pPr>
      <w:r>
        <w:rPr>
          <w:rFonts w:hint="eastAsia" w:ascii="宋体" w:hAnsi="宋体" w:eastAsia="宋体" w:cs="宋体"/>
          <w:color w:val="auto"/>
          <w:sz w:val="21"/>
          <w:szCs w:val="21"/>
          <w:highlight w:val="none"/>
        </w:rPr>
        <w:t>6.3其他有关事项：本项目采用“远程不见面”开标方式，投标人无需到郑州航空港经济综合实验区（郑州新郑综合保税区）公共资源交易中心现场参加开标会议，无需到达现场提交原件等资料。投标人应当在投标截止时间前，登录远程开标大厅，在线准时参加开标活动并进行文件解密等工作。</w:t>
      </w:r>
    </w:p>
    <w:p>
      <w:pPr>
        <w:keepNext w:val="0"/>
        <w:keepLines w:val="0"/>
        <w:pageBreakBefore w:val="0"/>
        <w:widowControl w:val="0"/>
        <w:shd w:val="clear" w:fill="auto"/>
        <w:kinsoku/>
        <w:wordWrap/>
        <w:overflowPunct/>
        <w:topLinePunct w:val="0"/>
        <w:autoSpaceDE/>
        <w:autoSpaceDN/>
        <w:bidi w:val="0"/>
        <w:adjustRightInd/>
        <w:snapToGrid/>
        <w:spacing w:line="440" w:lineRule="exact"/>
        <w:ind w:left="0" w:leftChars="0"/>
        <w:jc w:val="left"/>
        <w:textAlignment w:val="auto"/>
        <w:outlineLvl w:val="9"/>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7.发布公告的媒介</w:t>
      </w:r>
    </w:p>
    <w:p>
      <w:pPr>
        <w:keepNext w:val="0"/>
        <w:keepLines w:val="0"/>
        <w:pageBreakBefore w:val="0"/>
        <w:shd w:val="clear" w:fill="auto"/>
        <w:kinsoku/>
        <w:wordWrap/>
        <w:overflowPunct/>
        <w:topLinePunct w:val="0"/>
        <w:autoSpaceDE/>
        <w:autoSpaceDN/>
        <w:bidi w:val="0"/>
        <w:adjustRightInd/>
        <w:snapToGrid/>
        <w:spacing w:beforeAutospacing="0" w:afterAutospacing="0" w:line="440" w:lineRule="exact"/>
        <w:ind w:left="0" w:leftChars="0" w:firstLine="482"/>
        <w:jc w:val="both"/>
        <w:textAlignment w:val="auto"/>
        <w:outlineLvl w:val="9"/>
        <w:rPr>
          <w:rFonts w:hint="eastAsia" w:ascii="宋体" w:hAnsi="宋体" w:eastAsia="宋体" w:cs="宋体"/>
          <w:sz w:val="21"/>
          <w:szCs w:val="21"/>
          <w:highlight w:val="none"/>
          <w:lang w:val="en-US" w:eastAsia="zh-CN" w:bidi="ar-SA"/>
        </w:rPr>
      </w:pPr>
      <w:r>
        <w:rPr>
          <w:rFonts w:hint="eastAsia" w:ascii="宋体" w:hAnsi="宋体" w:eastAsia="宋体" w:cs="宋体"/>
          <w:color w:val="auto"/>
          <w:sz w:val="21"/>
          <w:szCs w:val="21"/>
          <w:highlight w:val="none"/>
        </w:rPr>
        <w:t>本次招标公告同时在《中国招标投标公共服务平台》、《河南省电子招标投标公共服务平台》、《郑州航空港经济综合实验区（郑州新郑综合保税区）公共资源交易中心网站》上发布。</w:t>
      </w:r>
    </w:p>
    <w:p>
      <w:pPr>
        <w:keepNext w:val="0"/>
        <w:keepLines w:val="0"/>
        <w:pageBreakBefore w:val="0"/>
        <w:shd w:val="clear" w:fill="auto"/>
        <w:kinsoku/>
        <w:wordWrap/>
        <w:overflowPunct/>
        <w:topLinePunct w:val="0"/>
        <w:autoSpaceDE/>
        <w:autoSpaceDN/>
        <w:bidi w:val="0"/>
        <w:adjustRightInd/>
        <w:snapToGrid/>
        <w:spacing w:beforeAutospacing="0" w:afterAutospacing="0" w:line="440" w:lineRule="exact"/>
        <w:ind w:left="0" w:leftChars="0"/>
        <w:jc w:val="both"/>
        <w:textAlignment w:val="auto"/>
        <w:outlineLvl w:val="9"/>
        <w:rPr>
          <w:rFonts w:hint="eastAsia" w:ascii="宋体" w:hAnsi="宋体" w:eastAsia="宋体" w:cs="宋体"/>
          <w:b/>
          <w:sz w:val="21"/>
          <w:szCs w:val="21"/>
          <w:highlight w:val="none"/>
          <w:lang w:val="en-US" w:eastAsia="zh-CN" w:bidi="ar-SA"/>
        </w:rPr>
      </w:pPr>
      <w:r>
        <w:rPr>
          <w:rFonts w:hint="eastAsia" w:ascii="宋体" w:hAnsi="宋体" w:eastAsia="宋体" w:cs="宋体"/>
          <w:b/>
          <w:sz w:val="21"/>
          <w:szCs w:val="21"/>
          <w:highlight w:val="none"/>
          <w:lang w:val="en-US" w:eastAsia="zh-CN" w:bidi="ar-SA"/>
        </w:rPr>
        <w:t>8.联系方式</w:t>
      </w: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440" w:lineRule="exact"/>
        <w:ind w:left="0" w:leftChars="0" w:firstLine="482"/>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招 标 人：</w:t>
      </w:r>
      <w:r>
        <w:rPr>
          <w:rFonts w:hint="eastAsia" w:ascii="宋体" w:hAnsi="宋体" w:cs="宋体"/>
          <w:sz w:val="21"/>
          <w:szCs w:val="21"/>
          <w:highlight w:val="none"/>
          <w:lang w:val="en-US" w:eastAsia="zh-CN" w:bidi="ar-SA"/>
        </w:rPr>
        <w:t>郑州航空港经济综合实验区综合行政执法局（城市管理局）</w:t>
      </w: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440" w:lineRule="exact"/>
        <w:ind w:left="0" w:leftChars="0" w:firstLine="482"/>
        <w:textAlignment w:val="auto"/>
        <w:rPr>
          <w:rFonts w:hint="default"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联 系 人：</w:t>
      </w:r>
      <w:r>
        <w:rPr>
          <w:rFonts w:hint="eastAsia" w:ascii="宋体" w:hAnsi="宋体" w:cs="宋体"/>
          <w:sz w:val="21"/>
          <w:szCs w:val="21"/>
          <w:highlight w:val="none"/>
          <w:lang w:val="en-US" w:eastAsia="zh-CN" w:bidi="ar-SA"/>
        </w:rPr>
        <w:t>周先生</w:t>
      </w: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440" w:lineRule="exact"/>
        <w:ind w:left="0" w:leftChars="0" w:firstLine="482"/>
        <w:textAlignment w:val="auto"/>
        <w:rPr>
          <w:rFonts w:hint="default"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电   </w:t>
      </w:r>
      <w:r>
        <w:rPr>
          <w:rFonts w:hint="eastAsia" w:ascii="宋体" w:hAnsi="宋体" w:cs="宋体"/>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话：</w:t>
      </w:r>
      <w:r>
        <w:rPr>
          <w:rFonts w:hint="eastAsia" w:ascii="宋体" w:hAnsi="宋体" w:cs="宋体"/>
          <w:sz w:val="21"/>
          <w:szCs w:val="21"/>
          <w:highlight w:val="none"/>
          <w:lang w:val="en-US" w:eastAsia="zh-CN" w:bidi="ar-SA"/>
        </w:rPr>
        <w:t>0371-60870275</w:t>
      </w: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440" w:lineRule="exact"/>
        <w:ind w:left="0" w:leftChars="0" w:firstLine="482"/>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联系地址：郑州航空港经济综合实验区金港大道与星港路交叉口东100米路北</w:t>
      </w: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440" w:lineRule="exact"/>
        <w:ind w:left="0" w:leftChars="0" w:firstLine="482"/>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招标代理机构：大成工程咨询有限公司</w:t>
      </w: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440" w:lineRule="exact"/>
        <w:ind w:left="0" w:leftChars="0" w:firstLine="482"/>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地</w:t>
      </w:r>
      <w:r>
        <w:rPr>
          <w:rFonts w:hint="eastAsia" w:ascii="宋体" w:hAnsi="宋体" w:cs="宋体"/>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 xml:space="preserve">  址：郑州市经三路15号广汇国贸A区1202室</w:t>
      </w: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440" w:lineRule="exact"/>
        <w:ind w:left="0" w:leftChars="0" w:firstLine="482"/>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联</w:t>
      </w:r>
      <w:r>
        <w:rPr>
          <w:rFonts w:hint="eastAsia" w:ascii="宋体" w:hAnsi="宋体" w:cs="宋体"/>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系</w:t>
      </w:r>
      <w:r>
        <w:rPr>
          <w:rFonts w:hint="eastAsia" w:ascii="宋体" w:hAnsi="宋体" w:cs="宋体"/>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 xml:space="preserve">人：杨永丽 </w:t>
      </w:r>
      <w:r>
        <w:rPr>
          <w:rFonts w:hint="eastAsia" w:ascii="宋体" w:hAnsi="宋体" w:cs="宋体"/>
          <w:sz w:val="21"/>
          <w:szCs w:val="21"/>
          <w:highlight w:val="none"/>
          <w:lang w:val="en-US" w:eastAsia="zh-CN" w:bidi="ar-SA"/>
        </w:rPr>
        <w:t>刘玲玲</w:t>
      </w: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440" w:lineRule="exact"/>
        <w:ind w:left="0" w:leftChars="0" w:firstLine="482"/>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电</w:t>
      </w:r>
      <w:r>
        <w:rPr>
          <w:rFonts w:hint="eastAsia" w:ascii="宋体" w:hAnsi="宋体" w:cs="宋体"/>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话：0371-65585907</w:t>
      </w: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440" w:lineRule="exact"/>
        <w:ind w:left="0" w:leftChars="0" w:firstLine="482"/>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监督部门</w:t>
      </w:r>
      <w:r>
        <w:rPr>
          <w:rFonts w:hint="eastAsia" w:ascii="宋体" w:hAnsi="宋体" w:cs="宋体"/>
          <w:sz w:val="21"/>
          <w:szCs w:val="21"/>
          <w:highlight w:val="none"/>
          <w:lang w:val="en-US" w:eastAsia="zh-CN" w:bidi="ar-SA"/>
        </w:rPr>
        <w:t>：</w:t>
      </w:r>
      <w:r>
        <w:rPr>
          <w:rFonts w:hint="eastAsia" w:ascii="宋体" w:hAnsi="宋体" w:eastAsia="宋体" w:cs="宋体"/>
          <w:sz w:val="21"/>
          <w:szCs w:val="21"/>
          <w:highlight w:val="none"/>
          <w:lang w:val="en-US" w:eastAsia="zh-CN" w:bidi="ar-SA"/>
        </w:rPr>
        <w:t>郑州航空港经济综合实验区建设局（郑州市生态环境局郑州航空港经济综合实验区分局）</w:t>
      </w: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440" w:lineRule="exact"/>
        <w:ind w:left="0" w:leftChars="0" w:firstLine="482"/>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地 </w:t>
      </w:r>
      <w:r>
        <w:rPr>
          <w:rFonts w:hint="eastAsia" w:ascii="宋体" w:hAnsi="宋体" w:cs="宋体"/>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址：郑州航空港经济综合实验区金港大道与星港路交叉口新港办公区2号楼256</w:t>
      </w: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440" w:lineRule="exact"/>
        <w:ind w:left="0" w:leftChars="0" w:firstLine="482"/>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联 系 人：王老师</w:t>
      </w:r>
    </w:p>
    <w:p>
      <w:pPr>
        <w:keepNext w:val="0"/>
        <w:keepLines w:val="0"/>
        <w:pageBreakBefore w:val="0"/>
        <w:widowControl/>
        <w:shd w:val="clear" w:fill="auto"/>
        <w:kinsoku/>
        <w:wordWrap/>
        <w:overflowPunct/>
        <w:topLinePunct w:val="0"/>
        <w:autoSpaceDE/>
        <w:autoSpaceDN/>
        <w:bidi w:val="0"/>
        <w:adjustRightInd/>
        <w:snapToGrid/>
        <w:spacing w:beforeAutospacing="0" w:afterAutospacing="0" w:line="440" w:lineRule="exact"/>
        <w:ind w:left="0" w:leftChars="0" w:firstLine="482"/>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电</w:t>
      </w:r>
      <w:r>
        <w:rPr>
          <w:rFonts w:hint="eastAsia" w:ascii="宋体" w:hAnsi="宋体" w:cs="宋体"/>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 xml:space="preserve"> 话：0371-86199628</w:t>
      </w:r>
    </w:p>
    <w:p>
      <w:pPr>
        <w:pStyle w:val="43"/>
        <w:keepNext w:val="0"/>
        <w:keepLines w:val="0"/>
        <w:pageBreakBefore w:val="0"/>
        <w:widowControl w:val="0"/>
        <w:shd w:val="clear" w:fill="auto"/>
        <w:kinsoku/>
        <w:wordWrap/>
        <w:overflowPunct/>
        <w:topLinePunct w:val="0"/>
        <w:autoSpaceDE/>
        <w:autoSpaceDN/>
        <w:bidi w:val="0"/>
        <w:adjustRightInd/>
        <w:snapToGrid/>
        <w:spacing w:line="360" w:lineRule="auto"/>
        <w:jc w:val="righ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w:t>
      </w:r>
      <w:r>
        <w:rPr>
          <w:rFonts w:hint="eastAsia" w:ascii="宋体" w:hAnsi="宋体" w:cs="宋体"/>
          <w:highlight w:val="none"/>
          <w:lang w:val="en-US" w:eastAsia="zh-CN"/>
        </w:rPr>
        <w:t>24</w:t>
      </w:r>
      <w:r>
        <w:rPr>
          <w:rFonts w:hint="eastAsia" w:ascii="宋体" w:hAnsi="宋体" w:eastAsia="宋体" w:cs="宋体"/>
          <w:highlight w:val="none"/>
          <w:lang w:val="en-US" w:eastAsia="zh-CN"/>
        </w:rPr>
        <w:t>年</w:t>
      </w:r>
      <w:r>
        <w:rPr>
          <w:rFonts w:hint="eastAsia" w:ascii="宋体" w:hAnsi="宋体" w:cs="宋体"/>
          <w:highlight w:val="none"/>
          <w:lang w:val="en-US" w:eastAsia="zh-CN"/>
        </w:rPr>
        <w:t xml:space="preserve">  </w:t>
      </w:r>
      <w:r>
        <w:rPr>
          <w:rFonts w:hint="eastAsia" w:ascii="宋体" w:hAnsi="宋体" w:eastAsia="宋体" w:cs="宋体"/>
          <w:highlight w:val="none"/>
          <w:lang w:val="en-US" w:eastAsia="zh-CN"/>
        </w:rPr>
        <w:t>月</w:t>
      </w:r>
      <w:r>
        <w:rPr>
          <w:rFonts w:hint="eastAsia" w:ascii="宋体" w:hAnsi="宋体" w:cs="宋体"/>
          <w:highlight w:val="none"/>
          <w:lang w:val="en-US" w:eastAsia="zh-CN"/>
        </w:rPr>
        <w:t xml:space="preserve">  </w:t>
      </w:r>
      <w:r>
        <w:rPr>
          <w:rFonts w:hint="eastAsia" w:ascii="宋体" w:hAnsi="宋体" w:eastAsia="宋体" w:cs="宋体"/>
          <w:highlight w:val="none"/>
          <w:lang w:val="en-US" w:eastAsia="zh-CN"/>
        </w:rPr>
        <w:t>日</w:t>
      </w:r>
      <w:r>
        <w:rPr>
          <w:rFonts w:ascii="宋体" w:hAnsi="宋体"/>
          <w:color w:val="000000"/>
          <w:sz w:val="21"/>
          <w:szCs w:val="21"/>
          <w:highlight w:val="none"/>
        </w:rPr>
        <w:t xml:space="preserve"> </w:t>
      </w:r>
      <w:r>
        <w:rPr>
          <w:rFonts w:hint="eastAsia" w:ascii="宋体" w:hAnsi="宋体"/>
          <w:color w:val="000000"/>
          <w:sz w:val="21"/>
          <w:szCs w:val="21"/>
          <w:highlight w:val="none"/>
        </w:rPr>
        <w:t xml:space="preserve"> </w:t>
      </w:r>
    </w:p>
    <w:p>
      <w:pPr>
        <w:shd w:val="clear" w:fill="auto"/>
        <w:rPr>
          <w:rFonts w:hint="eastAsia" w:ascii="宋体" w:hAnsi="宋体"/>
          <w:color w:val="000000"/>
          <w:sz w:val="32"/>
          <w:szCs w:val="32"/>
          <w:highlight w:val="none"/>
        </w:rPr>
      </w:pPr>
      <w:r>
        <w:rPr>
          <w:rFonts w:hint="eastAsia" w:ascii="宋体" w:hAnsi="宋体"/>
          <w:color w:val="000000"/>
          <w:sz w:val="32"/>
          <w:szCs w:val="32"/>
          <w:highlight w:val="none"/>
        </w:rPr>
        <w:br w:type="page"/>
      </w:r>
    </w:p>
    <w:p>
      <w:pPr>
        <w:pStyle w:val="2"/>
        <w:shd w:val="clear" w:fill="auto"/>
        <w:spacing w:before="0" w:after="0" w:line="360" w:lineRule="auto"/>
        <w:jc w:val="center"/>
        <w:rPr>
          <w:rFonts w:hint="eastAsia" w:ascii="宋体" w:hAnsi="宋体"/>
          <w:color w:val="000000"/>
          <w:sz w:val="32"/>
          <w:szCs w:val="32"/>
          <w:highlight w:val="none"/>
        </w:rPr>
      </w:pPr>
      <w:bookmarkStart w:id="4" w:name="_Toc5814"/>
      <w:bookmarkStart w:id="5" w:name="_Toc15214"/>
      <w:bookmarkStart w:id="6" w:name="_Toc17524"/>
      <w:bookmarkStart w:id="7" w:name="_Toc12668"/>
      <w:r>
        <w:rPr>
          <w:rFonts w:hint="eastAsia" w:ascii="宋体" w:hAnsi="宋体"/>
          <w:color w:val="000000"/>
          <w:sz w:val="32"/>
          <w:szCs w:val="32"/>
          <w:highlight w:val="none"/>
        </w:rPr>
        <w:t>第二章 投标人须知</w:t>
      </w:r>
      <w:bookmarkEnd w:id="4"/>
      <w:bookmarkEnd w:id="5"/>
      <w:bookmarkEnd w:id="6"/>
      <w:bookmarkEnd w:id="7"/>
    </w:p>
    <w:p>
      <w:pPr>
        <w:shd w:val="clear" w:fill="auto"/>
        <w:spacing w:line="360" w:lineRule="auto"/>
        <w:jc w:val="center"/>
        <w:rPr>
          <w:rFonts w:hint="eastAsia" w:ascii="宋体" w:hAnsi="宋体"/>
          <w:b/>
          <w:color w:val="000000"/>
          <w:kern w:val="0"/>
          <w:sz w:val="24"/>
          <w:highlight w:val="none"/>
        </w:rPr>
      </w:pPr>
      <w:r>
        <w:rPr>
          <w:rFonts w:hint="eastAsia"/>
          <w:b/>
          <w:color w:val="000000"/>
          <w:kern w:val="0"/>
          <w:sz w:val="24"/>
          <w:highlight w:val="none"/>
        </w:rPr>
        <w:t>投标人须知前附表</w:t>
      </w:r>
    </w:p>
    <w:tbl>
      <w:tblPr>
        <w:tblStyle w:val="2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65"/>
        <w:gridCol w:w="733"/>
        <w:gridCol w:w="6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shd w:val="clear" w:fill="auto"/>
              <w:autoSpaceDE w:val="0"/>
              <w:autoSpaceDN w:val="0"/>
              <w:adjustRightInd w:val="0"/>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条款号</w:t>
            </w:r>
          </w:p>
        </w:tc>
        <w:tc>
          <w:tcPr>
            <w:tcW w:w="1798" w:type="dxa"/>
            <w:gridSpan w:val="2"/>
            <w:vAlign w:val="center"/>
          </w:tcPr>
          <w:p>
            <w:pPr>
              <w:shd w:val="clear" w:fill="auto"/>
              <w:autoSpaceDE w:val="0"/>
              <w:autoSpaceDN w:val="0"/>
              <w:adjustRightInd w:val="0"/>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条 款 名 称</w:t>
            </w:r>
          </w:p>
        </w:tc>
        <w:tc>
          <w:tcPr>
            <w:tcW w:w="6767" w:type="dxa"/>
            <w:vAlign w:val="center"/>
          </w:tcPr>
          <w:p>
            <w:pPr>
              <w:shd w:val="clear" w:fill="auto"/>
              <w:autoSpaceDE w:val="0"/>
              <w:autoSpaceDN w:val="0"/>
              <w:adjustRightInd w:val="0"/>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w:t>
            </w:r>
          </w:p>
        </w:tc>
        <w:tc>
          <w:tcPr>
            <w:tcW w:w="1798" w:type="dxa"/>
            <w:gridSpan w:val="2"/>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招标人</w:t>
            </w:r>
          </w:p>
        </w:tc>
        <w:tc>
          <w:tcPr>
            <w:tcW w:w="6767" w:type="dxa"/>
            <w:vAlign w:val="top"/>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名称</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eastAsia="zh-CN"/>
              </w:rPr>
              <w:t>郑州航空港经济综合实验区综合行政执法局（城市管理局）</w:t>
            </w:r>
          </w:p>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 系 人：周先生</w:t>
            </w:r>
          </w:p>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    话：0371-60870275联系地址：郑州航空港经济综合实验区金港大道与星港路交叉口东100米路北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w:t>
            </w:r>
          </w:p>
        </w:tc>
        <w:tc>
          <w:tcPr>
            <w:tcW w:w="1798" w:type="dxa"/>
            <w:gridSpan w:val="2"/>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招标代理机构</w:t>
            </w:r>
          </w:p>
        </w:tc>
        <w:tc>
          <w:tcPr>
            <w:tcW w:w="6767" w:type="dxa"/>
            <w:vAlign w:val="top"/>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eastAsia="zh-CN"/>
              </w:rPr>
              <w:t>名称</w:t>
            </w:r>
            <w:r>
              <w:rPr>
                <w:rFonts w:hint="eastAsia" w:ascii="宋体" w:hAnsi="宋体" w:eastAsia="宋体" w:cs="宋体"/>
                <w:color w:val="000000"/>
                <w:kern w:val="0"/>
                <w:sz w:val="21"/>
                <w:szCs w:val="21"/>
                <w:highlight w:val="none"/>
              </w:rPr>
              <w:t>：大成工程咨询有限公司</w:t>
            </w:r>
          </w:p>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地址：郑州市经三路15号广汇国贸A区1202室</w:t>
            </w:r>
          </w:p>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联系人：</w:t>
            </w:r>
            <w:r>
              <w:rPr>
                <w:rFonts w:hint="eastAsia" w:ascii="宋体" w:hAnsi="宋体" w:eastAsia="宋体" w:cs="宋体"/>
                <w:sz w:val="21"/>
                <w:szCs w:val="21"/>
                <w:highlight w:val="none"/>
                <w:lang w:val="en-US" w:eastAsia="zh-CN" w:bidi="ar-SA"/>
              </w:rPr>
              <w:t xml:space="preserve">杨永丽 </w:t>
            </w:r>
            <w:r>
              <w:rPr>
                <w:rFonts w:hint="eastAsia" w:ascii="宋体" w:hAnsi="宋体" w:cs="宋体"/>
                <w:sz w:val="21"/>
                <w:szCs w:val="21"/>
                <w:highlight w:val="none"/>
                <w:lang w:val="en-US" w:eastAsia="zh-CN" w:bidi="ar-SA"/>
              </w:rPr>
              <w:t>刘玲玲</w:t>
            </w:r>
          </w:p>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电话：0371-65585907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1.1.4</w:t>
            </w:r>
          </w:p>
        </w:tc>
        <w:tc>
          <w:tcPr>
            <w:tcW w:w="1798" w:type="dxa"/>
            <w:gridSpan w:val="2"/>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项目名称</w:t>
            </w:r>
          </w:p>
        </w:tc>
        <w:tc>
          <w:tcPr>
            <w:tcW w:w="6767" w:type="dxa"/>
            <w:vAlign w:val="top"/>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left"/>
              <w:textAlignment w:val="auto"/>
              <w:rPr>
                <w:rFonts w:hint="default" w:ascii="宋体" w:hAnsi="宋体" w:eastAsia="宋体" w:cs="宋体"/>
                <w:color w:val="000000"/>
                <w:kern w:val="0"/>
                <w:sz w:val="21"/>
                <w:szCs w:val="21"/>
                <w:highlight w:val="none"/>
                <w:lang w:val="en-US"/>
              </w:rPr>
            </w:pPr>
            <w:r>
              <w:rPr>
                <w:rFonts w:hint="eastAsia" w:ascii="宋体" w:hAnsi="宋体" w:cs="宋体"/>
                <w:color w:val="000000"/>
                <w:kern w:val="0"/>
                <w:sz w:val="21"/>
                <w:szCs w:val="21"/>
                <w:highlight w:val="none"/>
                <w:lang w:eastAsia="zh-CN"/>
              </w:rPr>
              <w:t>郑州航空港经济综合实验区会展片区绿地整治工程</w:t>
            </w:r>
            <w:r>
              <w:rPr>
                <w:rFonts w:hint="eastAsia" w:ascii="宋体" w:hAnsi="宋体" w:cs="宋体"/>
                <w:color w:val="000000"/>
                <w:kern w:val="0"/>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1.1.5</w:t>
            </w:r>
          </w:p>
        </w:tc>
        <w:tc>
          <w:tcPr>
            <w:tcW w:w="1798" w:type="dxa"/>
            <w:gridSpan w:val="2"/>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建设地点</w:t>
            </w:r>
          </w:p>
        </w:tc>
        <w:tc>
          <w:tcPr>
            <w:tcW w:w="6767" w:type="dxa"/>
            <w:vAlign w:val="top"/>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color w:val="000000"/>
                <w:kern w:val="0"/>
                <w:sz w:val="21"/>
                <w:szCs w:val="21"/>
                <w:highlight w:val="none"/>
                <w:lang w:eastAsia="zh-CN"/>
              </w:rPr>
            </w:pPr>
            <w:r>
              <w:rPr>
                <w:rFonts w:hint="eastAsia" w:ascii="宋体" w:hAnsi="宋体"/>
                <w:color w:val="000000"/>
                <w:sz w:val="21"/>
                <w:szCs w:val="21"/>
                <w:highlight w:val="none"/>
                <w:lang w:eastAsia="zh-CN"/>
              </w:rPr>
              <w:t>郑州航空港经济综合实验区国际物流会展区滨河东路、迎宾大道、豫州大道、金陵大道围合区域。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rightChars="0"/>
              <w:jc w:val="center"/>
              <w:textAlignment w:val="auto"/>
              <w:rPr>
                <w:rFonts w:hint="eastAsia" w:ascii="宋体" w:hAnsi="宋体" w:eastAsia="宋体" w:cs="宋体"/>
                <w:spacing w:val="1"/>
                <w:kern w:val="0"/>
                <w:sz w:val="21"/>
                <w:szCs w:val="21"/>
                <w:highlight w:val="none"/>
                <w:lang w:val="en-US" w:eastAsia="zh-CN" w:bidi="ar-SA"/>
              </w:rPr>
            </w:pPr>
            <w:r>
              <w:rPr>
                <w:rFonts w:hint="eastAsia" w:ascii="宋体" w:hAnsi="宋体" w:eastAsia="宋体" w:cs="宋体"/>
                <w:spacing w:val="1"/>
                <w:kern w:val="0"/>
                <w:sz w:val="21"/>
                <w:szCs w:val="21"/>
                <w:highlight w:val="none"/>
              </w:rPr>
              <w:t>1.1.6</w:t>
            </w:r>
          </w:p>
        </w:tc>
        <w:tc>
          <w:tcPr>
            <w:tcW w:w="1798" w:type="dxa"/>
            <w:gridSpan w:val="2"/>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rightChars="0"/>
              <w:jc w:val="center"/>
              <w:textAlignment w:val="auto"/>
              <w:rPr>
                <w:rFonts w:hint="eastAsia" w:ascii="宋体" w:hAnsi="宋体" w:eastAsia="宋体" w:cs="宋体"/>
                <w:spacing w:val="1"/>
                <w:kern w:val="0"/>
                <w:sz w:val="21"/>
                <w:szCs w:val="21"/>
                <w:highlight w:val="none"/>
                <w:lang w:val="en-US" w:eastAsia="zh-CN" w:bidi="ar-SA"/>
              </w:rPr>
            </w:pPr>
            <w:r>
              <w:rPr>
                <w:rFonts w:hint="eastAsia" w:ascii="宋体" w:hAnsi="宋体" w:eastAsia="宋体" w:cs="宋体"/>
                <w:spacing w:val="1"/>
                <w:kern w:val="0"/>
                <w:sz w:val="21"/>
                <w:szCs w:val="21"/>
                <w:highlight w:val="none"/>
              </w:rPr>
              <w:t>项目建设规模</w:t>
            </w:r>
          </w:p>
        </w:tc>
        <w:tc>
          <w:tcPr>
            <w:tcW w:w="6767" w:type="dxa"/>
            <w:vAlign w:val="top"/>
          </w:tcPr>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0" w:firstLineChars="0"/>
              <w:jc w:val="both"/>
              <w:textAlignment w:val="auto"/>
              <w:outlineLvl w:val="9"/>
              <w:rPr>
                <w:rFonts w:hint="eastAsia" w:ascii="宋体" w:hAnsi="宋体" w:cs="宋体"/>
                <w:color w:val="000000"/>
                <w:sz w:val="21"/>
                <w:szCs w:val="21"/>
                <w:highlight w:val="none"/>
                <w:lang w:eastAsia="zh-CN"/>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包含但不限于</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荆州路简易绿化面积约27.7万平方米</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孙武路、皛店路简易绿化面积约11.7万平方米</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滨河东路简易绿化面积约2.3万平方米</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亳都路简易绿化面积约9.5万平方米</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高铁站周边及匝道桥下简易绿化面积约0.29万平方米</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高铁站周边及匝道桥下临时绿化面积约14.60万平方米。总绿化面积约为66.09万平方米。包含绿化种植、灌溉</w:t>
            </w:r>
            <w:r>
              <w:rPr>
                <w:rFonts w:hint="eastAsia" w:ascii="宋体" w:hAnsi="宋体" w:cs="宋体"/>
                <w:sz w:val="21"/>
                <w:szCs w:val="21"/>
                <w:highlight w:val="none"/>
                <w:lang w:eastAsia="zh-CN"/>
              </w:rPr>
              <w:t>等</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1.2.1</w:t>
            </w:r>
          </w:p>
        </w:tc>
        <w:tc>
          <w:tcPr>
            <w:tcW w:w="1798" w:type="dxa"/>
            <w:gridSpan w:val="2"/>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资金来源</w:t>
            </w:r>
            <w:r>
              <w:rPr>
                <w:rFonts w:hint="eastAsia" w:ascii="宋体" w:hAnsi="宋体" w:cs="宋体"/>
                <w:color w:val="000000"/>
                <w:kern w:val="0"/>
                <w:sz w:val="21"/>
                <w:szCs w:val="21"/>
                <w:highlight w:val="none"/>
                <w:lang w:eastAsia="zh-CN"/>
              </w:rPr>
              <w:t>及比例</w:t>
            </w:r>
          </w:p>
        </w:tc>
        <w:tc>
          <w:tcPr>
            <w:tcW w:w="6767" w:type="dxa"/>
            <w:vAlign w:val="top"/>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left"/>
              <w:textAlignment w:val="auto"/>
              <w:rPr>
                <w:rFonts w:hint="default" w:ascii="宋体" w:hAnsi="宋体" w:eastAsia="宋体" w:cs="宋体"/>
                <w:color w:val="000000"/>
                <w:sz w:val="21"/>
                <w:szCs w:val="21"/>
                <w:highlight w:val="none"/>
                <w:lang w:val="en-US"/>
              </w:rPr>
            </w:pPr>
            <w:r>
              <w:rPr>
                <w:rFonts w:hint="eastAsia" w:ascii="宋体" w:hAnsi="宋体" w:cs="宋体"/>
                <w:color w:val="auto"/>
                <w:sz w:val="21"/>
                <w:szCs w:val="21"/>
                <w:highlight w:val="none"/>
                <w:lang w:eastAsia="zh-CN"/>
              </w:rPr>
              <w:t>财政</w:t>
            </w:r>
            <w:r>
              <w:rPr>
                <w:rFonts w:hint="eastAsia" w:ascii="宋体" w:hAnsi="宋体" w:eastAsia="宋体" w:cs="宋体"/>
                <w:color w:val="auto"/>
                <w:sz w:val="21"/>
                <w:szCs w:val="21"/>
                <w:highlight w:val="none"/>
                <w:lang w:eastAsia="zh-CN"/>
              </w:rPr>
              <w:t>资金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1.2.2</w:t>
            </w:r>
          </w:p>
        </w:tc>
        <w:tc>
          <w:tcPr>
            <w:tcW w:w="1798" w:type="dxa"/>
            <w:gridSpan w:val="2"/>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righ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pacing w:val="1"/>
                <w:kern w:val="0"/>
                <w:sz w:val="21"/>
                <w:szCs w:val="21"/>
                <w:highlight w:val="none"/>
              </w:rPr>
              <w:t>资金落实情况</w:t>
            </w:r>
          </w:p>
        </w:tc>
        <w:tc>
          <w:tcPr>
            <w:tcW w:w="6767"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leftChars="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pacing w:val="1"/>
                <w:kern w:val="0"/>
                <w:sz w:val="21"/>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1.3.1</w:t>
            </w:r>
          </w:p>
        </w:tc>
        <w:tc>
          <w:tcPr>
            <w:tcW w:w="1798" w:type="dxa"/>
            <w:gridSpan w:val="2"/>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招标范围</w:t>
            </w:r>
            <w:r>
              <w:rPr>
                <w:rFonts w:hint="eastAsia" w:ascii="宋体" w:hAnsi="宋体" w:eastAsia="宋体" w:cs="宋体"/>
                <w:color w:val="auto"/>
                <w:sz w:val="21"/>
                <w:szCs w:val="21"/>
                <w:highlight w:val="none"/>
                <w:lang w:eastAsia="zh-CN"/>
              </w:rPr>
              <w:t>及标段划分</w:t>
            </w:r>
          </w:p>
        </w:tc>
        <w:tc>
          <w:tcPr>
            <w:tcW w:w="6767"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招标范围：施工图纸和工程量清单范围内的所有内容；</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标段划分：本项目共一个标段。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1.3.2</w:t>
            </w:r>
          </w:p>
        </w:tc>
        <w:tc>
          <w:tcPr>
            <w:tcW w:w="1798" w:type="dxa"/>
            <w:gridSpan w:val="2"/>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工期</w:t>
            </w:r>
            <w:r>
              <w:rPr>
                <w:rFonts w:hint="eastAsia" w:ascii="宋体" w:hAnsi="宋体" w:eastAsia="宋体" w:cs="宋体"/>
                <w:color w:val="000000"/>
                <w:kern w:val="0"/>
                <w:sz w:val="21"/>
                <w:szCs w:val="21"/>
                <w:highlight w:val="none"/>
                <w:lang w:eastAsia="zh-CN"/>
              </w:rPr>
              <w:t>要求</w:t>
            </w:r>
          </w:p>
        </w:tc>
        <w:tc>
          <w:tcPr>
            <w:tcW w:w="6767" w:type="dxa"/>
            <w:vAlign w:val="center"/>
          </w:tcPr>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0" w:firstLineChars="0"/>
              <w:jc w:val="both"/>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365日历天(其中：计划于2024年11月30日完成工程量的90%，剩余工程量的10%在2025年4月30日全部完工并达到验收标准。)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1.3.3</w:t>
            </w:r>
          </w:p>
        </w:tc>
        <w:tc>
          <w:tcPr>
            <w:tcW w:w="1798" w:type="dxa"/>
            <w:gridSpan w:val="2"/>
            <w:vAlign w:val="center"/>
          </w:tcPr>
          <w:p>
            <w:pPr>
              <w:pStyle w:val="46"/>
              <w:keepNext w:val="0"/>
              <w:keepLines w:val="0"/>
              <w:pageBreakBefore w:val="0"/>
              <w:shd w:val="clear" w:fill="auto"/>
              <w:kinsoku/>
              <w:wordWrap/>
              <w:overflowPunct/>
              <w:topLinePunct w:val="0"/>
              <w:bidi w:val="0"/>
              <w:snapToGrid/>
              <w:spacing w:line="410" w:lineRule="exact"/>
              <w:ind w:left="0" w:right="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质量要求</w:t>
            </w:r>
          </w:p>
        </w:tc>
        <w:tc>
          <w:tcPr>
            <w:tcW w:w="6767" w:type="dxa"/>
            <w:vAlign w:val="top"/>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合格</w:t>
            </w:r>
            <w:r>
              <w:rPr>
                <w:rFonts w:hint="eastAsia" w:ascii="宋体" w:hAnsi="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1.3.4  </w:t>
            </w:r>
          </w:p>
        </w:tc>
        <w:tc>
          <w:tcPr>
            <w:tcW w:w="1798" w:type="dxa"/>
            <w:gridSpan w:val="2"/>
            <w:vAlign w:val="center"/>
          </w:tcPr>
          <w:p>
            <w:pPr>
              <w:pStyle w:val="46"/>
              <w:keepNext w:val="0"/>
              <w:keepLines w:val="0"/>
              <w:pageBreakBefore w:val="0"/>
              <w:shd w:val="clear" w:fill="auto"/>
              <w:kinsoku/>
              <w:wordWrap/>
              <w:overflowPunct/>
              <w:topLinePunct w:val="0"/>
              <w:bidi w:val="0"/>
              <w:snapToGrid/>
              <w:spacing w:line="41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质保期（养护期）</w:t>
            </w:r>
          </w:p>
        </w:tc>
        <w:tc>
          <w:tcPr>
            <w:tcW w:w="6767" w:type="dxa"/>
            <w:vAlign w:val="top"/>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1.3.5</w:t>
            </w:r>
          </w:p>
        </w:tc>
        <w:tc>
          <w:tcPr>
            <w:tcW w:w="1798" w:type="dxa"/>
            <w:gridSpan w:val="2"/>
            <w:vAlign w:val="center"/>
          </w:tcPr>
          <w:p>
            <w:pPr>
              <w:pStyle w:val="46"/>
              <w:keepNext w:val="0"/>
              <w:keepLines w:val="0"/>
              <w:pageBreakBefore w:val="0"/>
              <w:shd w:val="clear" w:fill="auto"/>
              <w:kinsoku/>
              <w:wordWrap/>
              <w:overflowPunct/>
              <w:topLinePunct w:val="0"/>
              <w:bidi w:val="0"/>
              <w:snapToGrid/>
              <w:spacing w:line="410" w:lineRule="exact"/>
              <w:ind w:left="0" w:right="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安全管理目标</w:t>
            </w:r>
          </w:p>
        </w:tc>
        <w:tc>
          <w:tcPr>
            <w:tcW w:w="6767" w:type="dxa"/>
            <w:vAlign w:val="top"/>
          </w:tcPr>
          <w:p>
            <w:pPr>
              <w:pStyle w:val="46"/>
              <w:keepNext w:val="0"/>
              <w:keepLines w:val="0"/>
              <w:pageBreakBefore w:val="0"/>
              <w:shd w:val="clear" w:fill="auto"/>
              <w:kinsoku/>
              <w:wordWrap/>
              <w:overflowPunct/>
              <w:topLinePunct w:val="0"/>
              <w:bidi w:val="0"/>
              <w:snapToGrid/>
              <w:spacing w:line="410" w:lineRule="exact"/>
              <w:ind w:left="0" w:right="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无安全性事故，安全防护达标；确保不发生重大伤亡事故、杜绝火灾事故发生、杜绝重大机械安全事故、杜绝因扬尘治理不到位造成的停工。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1.4.1</w:t>
            </w:r>
          </w:p>
        </w:tc>
        <w:tc>
          <w:tcPr>
            <w:tcW w:w="1798" w:type="dxa"/>
            <w:gridSpan w:val="2"/>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投标人资格要求</w:t>
            </w:r>
          </w:p>
        </w:tc>
        <w:tc>
          <w:tcPr>
            <w:tcW w:w="6767" w:type="dxa"/>
            <w:vAlign w:val="top"/>
          </w:tcPr>
          <w:p>
            <w:pPr>
              <w:keepNext w:val="0"/>
              <w:keepLines w:val="0"/>
              <w:pageBreakBefore w:val="0"/>
              <w:widowControl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资质条件：</w:t>
            </w:r>
            <w:r>
              <w:rPr>
                <w:rFonts w:hint="eastAsia" w:ascii="宋体" w:hAnsi="宋体" w:cs="宋体"/>
                <w:bCs/>
                <w:color w:val="000000"/>
                <w:sz w:val="21"/>
                <w:szCs w:val="21"/>
                <w:highlight w:val="none"/>
                <w:lang w:eastAsia="zh-CN"/>
              </w:rPr>
              <w:t>投标人须在中华人民共和国境内注册具有独立法人资格，持有有效的企业法人营业执照</w:t>
            </w:r>
            <w:r>
              <w:rPr>
                <w:rFonts w:hint="eastAsia" w:ascii="宋体" w:hAnsi="宋体" w:eastAsia="宋体" w:cs="宋体"/>
                <w:bCs/>
                <w:color w:val="000000"/>
                <w:kern w:val="0"/>
                <w:sz w:val="21"/>
                <w:szCs w:val="21"/>
                <w:highlight w:val="none"/>
              </w:rPr>
              <w:t>；</w:t>
            </w:r>
          </w:p>
          <w:p>
            <w:pPr>
              <w:keepNext w:val="0"/>
              <w:keepLines w:val="0"/>
              <w:pageBreakBefore w:val="0"/>
              <w:widowControl w:val="0"/>
              <w:shd w:val="clear" w:fill="auto"/>
              <w:kinsoku/>
              <w:wordWrap/>
              <w:overflowPunct/>
              <w:topLinePunct w:val="0"/>
              <w:autoSpaceDE/>
              <w:autoSpaceDN/>
              <w:bidi w:val="0"/>
              <w:adjustRightInd/>
              <w:snapToGrid/>
              <w:spacing w:line="410" w:lineRule="exact"/>
              <w:ind w:left="0" w:right="0" w:rightChars="0"/>
              <w:jc w:val="both"/>
              <w:textAlignment w:val="auto"/>
              <w:outlineLvl w:val="9"/>
              <w:rPr>
                <w:rFonts w:hint="eastAsia" w:ascii="宋体" w:hAnsi="宋体"/>
                <w:color w:val="000000"/>
                <w:sz w:val="21"/>
                <w:szCs w:val="21"/>
                <w:highlight w:val="none"/>
              </w:rPr>
            </w:pPr>
            <w:r>
              <w:rPr>
                <w:rFonts w:hint="eastAsia" w:ascii="宋体" w:hAnsi="宋体" w:cs="宋体"/>
                <w:b/>
                <w:bCs w:val="0"/>
                <w:color w:val="000000"/>
                <w:sz w:val="21"/>
                <w:szCs w:val="21"/>
                <w:highlight w:val="none"/>
                <w:lang w:eastAsia="zh-CN"/>
              </w:rPr>
              <w:t>项目负责人要求</w:t>
            </w:r>
            <w:r>
              <w:rPr>
                <w:rFonts w:hint="eastAsia" w:ascii="宋体" w:hAnsi="宋体" w:eastAsia="宋体" w:cs="宋体"/>
                <w:b/>
                <w:bCs w:val="0"/>
                <w:color w:val="000000"/>
                <w:sz w:val="21"/>
                <w:szCs w:val="21"/>
                <w:highlight w:val="none"/>
              </w:rPr>
              <w:t>：</w:t>
            </w:r>
            <w:r>
              <w:rPr>
                <w:rFonts w:hint="eastAsia" w:ascii="宋体" w:hAnsi="宋体" w:cs="宋体"/>
                <w:color w:val="auto"/>
                <w:sz w:val="21"/>
                <w:szCs w:val="21"/>
                <w:highlight w:val="none"/>
                <w:lang w:eastAsia="zh-CN"/>
              </w:rPr>
              <w:t>投标人拟派项目负责人须具有市政公用工程专业壹级注册建造师证书</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具有有效的安全生产考核合格证</w:t>
            </w:r>
            <w:r>
              <w:rPr>
                <w:rFonts w:hint="eastAsia" w:ascii="宋体" w:hAnsi="宋体" w:eastAsia="宋体" w:cs="宋体"/>
                <w:color w:val="auto"/>
                <w:sz w:val="21"/>
                <w:szCs w:val="21"/>
                <w:highlight w:val="none"/>
              </w:rPr>
              <w:t>，提供项目负责人本人的劳动合同及投标人为其缴纳的社会保险证明（由当地社保部门出具的查询明细表并加盖社保部门印章，或个人、集体对账单，或具有同等效用的网上查询打印页的单位整体缴纳清单或个人缴费明细表，除此之外的证明无效）；</w:t>
            </w:r>
          </w:p>
          <w:p>
            <w:pPr>
              <w:keepNext w:val="0"/>
              <w:keepLines w:val="0"/>
              <w:pageBreakBefore w:val="0"/>
              <w:widowControl w:val="0"/>
              <w:shd w:val="clear" w:fill="auto"/>
              <w:kinsoku/>
              <w:wordWrap/>
              <w:overflowPunct/>
              <w:topLinePunct w:val="0"/>
              <w:autoSpaceDE/>
              <w:autoSpaceDN/>
              <w:bidi w:val="0"/>
              <w:adjustRightInd/>
              <w:snapToGrid/>
              <w:spacing w:line="410" w:lineRule="exact"/>
              <w:ind w:left="0" w:right="0" w:rightChars="0"/>
              <w:jc w:val="both"/>
              <w:textAlignment w:val="auto"/>
              <w:outlineLvl w:val="9"/>
              <w:rPr>
                <w:rFonts w:hint="eastAsia" w:ascii="宋体" w:hAnsi="宋体" w:eastAsia="宋体"/>
                <w:color w:val="000000"/>
                <w:sz w:val="21"/>
                <w:szCs w:val="21"/>
                <w:highlight w:val="none"/>
                <w:lang w:val="en-US" w:eastAsia="zh-CN"/>
              </w:rPr>
            </w:pPr>
            <w:r>
              <w:rPr>
                <w:rFonts w:hint="eastAsia" w:ascii="宋体" w:hAnsi="宋体" w:eastAsia="宋体" w:cs="宋体"/>
                <w:b/>
                <w:bCs/>
                <w:color w:val="000000"/>
                <w:sz w:val="21"/>
                <w:szCs w:val="21"/>
                <w:highlight w:val="none"/>
              </w:rPr>
              <w:t>业绩要求：</w:t>
            </w:r>
            <w:r>
              <w:rPr>
                <w:rFonts w:hint="eastAsia" w:ascii="宋体" w:hAnsi="宋体"/>
                <w:color w:val="000000"/>
                <w:sz w:val="21"/>
                <w:szCs w:val="21"/>
                <w:highlight w:val="none"/>
              </w:rPr>
              <w:t>投标人</w:t>
            </w:r>
            <w:r>
              <w:rPr>
                <w:rFonts w:hint="eastAsia" w:ascii="宋体" w:hAnsi="宋体"/>
                <w:color w:val="000000"/>
                <w:sz w:val="21"/>
                <w:szCs w:val="21"/>
                <w:highlight w:val="none"/>
                <w:lang w:eastAsia="zh-CN"/>
              </w:rPr>
              <w:t>自2019年1月1日以来具有类似项目业绩</w:t>
            </w:r>
            <w:r>
              <w:rPr>
                <w:rFonts w:hint="eastAsia" w:ascii="宋体" w:hAnsi="宋体"/>
                <w:color w:val="000000"/>
                <w:sz w:val="21"/>
                <w:szCs w:val="21"/>
                <w:highlight w:val="none"/>
              </w:rPr>
              <w:t>（以合同签订日期为准，须提供合同协议书</w:t>
            </w:r>
            <w:r>
              <w:rPr>
                <w:rFonts w:hint="eastAsia" w:ascii="宋体" w:hAnsi="宋体"/>
                <w:color w:val="000000"/>
                <w:sz w:val="21"/>
                <w:szCs w:val="21"/>
                <w:highlight w:val="none"/>
                <w:lang w:val="en-US" w:eastAsia="zh-CN"/>
              </w:rPr>
              <w:t>)</w:t>
            </w:r>
            <w:r>
              <w:rPr>
                <w:rFonts w:hint="eastAsia" w:ascii="宋体" w:hAnsi="宋体"/>
                <w:color w:val="000000"/>
                <w:sz w:val="21"/>
                <w:szCs w:val="21"/>
                <w:highlight w:val="none"/>
                <w:lang w:eastAsia="zh-CN"/>
              </w:rPr>
              <w:t>；</w:t>
            </w:r>
          </w:p>
          <w:p>
            <w:pPr>
              <w:keepNext w:val="0"/>
              <w:keepLines w:val="0"/>
              <w:pageBreakBefore w:val="0"/>
              <w:widowControl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b/>
                <w:color w:val="000000"/>
                <w:kern w:val="0"/>
                <w:sz w:val="21"/>
                <w:szCs w:val="21"/>
                <w:highlight w:val="none"/>
              </w:rPr>
            </w:pPr>
            <w:r>
              <w:rPr>
                <w:rFonts w:hint="eastAsia" w:ascii="宋体" w:hAnsi="宋体" w:eastAsia="宋体" w:cs="宋体"/>
                <w:b/>
                <w:bCs/>
                <w:color w:val="000000"/>
                <w:sz w:val="21"/>
                <w:szCs w:val="21"/>
                <w:highlight w:val="none"/>
              </w:rPr>
              <w:t>财务状况：</w:t>
            </w:r>
            <w:r>
              <w:rPr>
                <w:rFonts w:hint="eastAsia" w:ascii="宋体" w:hAnsi="宋体"/>
                <w:color w:val="000000"/>
                <w:sz w:val="21"/>
                <w:szCs w:val="21"/>
                <w:highlight w:val="none"/>
                <w:lang w:val="en-US" w:eastAsia="zh-CN"/>
              </w:rPr>
              <w:t>企业没有被接管、冻结、破产状态，提供近三年（2020年度、2021年度、2022年度）经审计过的财务审计报告或财务报表（若企业成立年份不足三年的，则以企业成立年份向后推算，提供相应年份的经审计合格的财务审计报告或财务报表）；</w:t>
            </w:r>
          </w:p>
          <w:p>
            <w:pPr>
              <w:keepNext w:val="0"/>
              <w:keepLines w:val="0"/>
              <w:pageBreakBefore w:val="0"/>
              <w:widowControl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b/>
                <w:bCs/>
                <w:color w:val="000000"/>
                <w:sz w:val="21"/>
                <w:szCs w:val="21"/>
                <w:highlight w:val="none"/>
              </w:rPr>
            </w:pPr>
            <w:r>
              <w:rPr>
                <w:rFonts w:hint="eastAsia" w:ascii="宋体" w:hAnsi="宋体"/>
                <w:b/>
                <w:bCs/>
                <w:color w:val="000000"/>
                <w:sz w:val="21"/>
                <w:szCs w:val="21"/>
                <w:highlight w:val="none"/>
              </w:rPr>
              <w:t>信誉要求：</w:t>
            </w:r>
          </w:p>
          <w:p>
            <w:pPr>
              <w:keepNext w:val="0"/>
              <w:keepLines w:val="0"/>
              <w:pageBreakBefore w:val="0"/>
              <w:widowControl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lang w:val="en-US" w:eastAsia="zh-CN"/>
              </w:rPr>
              <w:t>1</w:t>
            </w:r>
            <w:r>
              <w:rPr>
                <w:rFonts w:hint="eastAsia" w:ascii="宋体" w:hAnsi="宋体" w:eastAsia="宋体" w:cs="宋体"/>
                <w:b w:val="0"/>
                <w:bCs w:val="0"/>
                <w:color w:val="000000"/>
                <w:sz w:val="21"/>
                <w:szCs w:val="21"/>
                <w:highlight w:val="none"/>
                <w:lang w:eastAsia="zh-CN"/>
              </w:rPr>
              <w:t>）投标人须具备良好的社会信誉，没有处于被责令停产、停业或者投标资格被暂停、取消状 态，最近三年内未发生骗取中标，未发生严重违约或重大工程质量问题；在最近三年内投标人、 投标人法定代表人、拟派</w:t>
            </w:r>
            <w:r>
              <w:rPr>
                <w:rFonts w:hint="eastAsia" w:ascii="宋体" w:hAnsi="宋体" w:eastAsia="宋体" w:cs="宋体"/>
                <w:color w:val="auto"/>
                <w:kern w:val="2"/>
                <w:sz w:val="21"/>
                <w:szCs w:val="21"/>
                <w:highlight w:val="none"/>
              </w:rPr>
              <w:t>项目负责人</w:t>
            </w:r>
            <w:r>
              <w:rPr>
                <w:rFonts w:hint="eastAsia" w:ascii="宋体" w:hAnsi="宋体" w:eastAsia="宋体" w:cs="宋体"/>
                <w:b w:val="0"/>
                <w:bCs w:val="0"/>
                <w:color w:val="000000"/>
                <w:sz w:val="21"/>
                <w:szCs w:val="21"/>
                <w:highlight w:val="none"/>
                <w:lang w:eastAsia="zh-CN"/>
              </w:rPr>
              <w:t>均没有行贿犯罪行为记录,以书面承诺为准；</w:t>
            </w:r>
          </w:p>
          <w:p>
            <w:pPr>
              <w:keepNext w:val="0"/>
              <w:keepLines w:val="0"/>
              <w:pageBreakBefore w:val="0"/>
              <w:widowControl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eastAsia="zh-CN"/>
              </w:rPr>
              <w:t>注：最近三年是指该项目投标截止之日起往前顺推三年，以事实实际发生的时间为准。</w:t>
            </w:r>
          </w:p>
          <w:p>
            <w:pPr>
              <w:keepNext w:val="0"/>
              <w:keepLines w:val="0"/>
              <w:pageBreakBefore w:val="0"/>
              <w:widowControl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lang w:eastAsia="zh-CN"/>
              </w:rPr>
              <w:t>）投标人需提供在“信用中国”网站（www.creditchina.gov.cn）或“中国执行信息公开网”网站（http://zxgk.court.gov.cn/shixin/）查询相关主体（含投标人、法定代表人、</w:t>
            </w:r>
            <w:r>
              <w:rPr>
                <w:rFonts w:hint="eastAsia" w:ascii="宋体" w:hAnsi="宋体" w:eastAsia="宋体" w:cs="宋体"/>
                <w:color w:val="auto"/>
                <w:kern w:val="2"/>
                <w:sz w:val="21"/>
                <w:szCs w:val="21"/>
                <w:highlight w:val="none"/>
              </w:rPr>
              <w:t>项目负责人</w:t>
            </w:r>
            <w:r>
              <w:rPr>
                <w:rFonts w:hint="eastAsia" w:ascii="宋体" w:hAnsi="宋体" w:eastAsia="宋体" w:cs="宋体"/>
                <w:b w:val="0"/>
                <w:bCs w:val="0"/>
                <w:color w:val="000000"/>
                <w:sz w:val="21"/>
                <w:szCs w:val="21"/>
                <w:highlight w:val="none"/>
                <w:lang w:eastAsia="zh-CN"/>
              </w:rPr>
              <w:t>、被授权委托人）未列入失信被执行人查询信息，若被列入失信被执行人名单，拒绝其参与本次投标活动，其投标无效。查询结果需显示查询时的日期，查询时的日期须在招标公告发布之日后，投标截止时间前</w:t>
            </w:r>
            <w:r>
              <w:rPr>
                <w:rFonts w:hint="eastAsia" w:ascii="宋体" w:hAnsi="宋体"/>
                <w:b w:val="0"/>
                <w:bCs w:val="0"/>
                <w:color w:val="000000"/>
                <w:sz w:val="21"/>
                <w:szCs w:val="21"/>
                <w:highlight w:val="none"/>
              </w:rPr>
              <w:t>；</w:t>
            </w:r>
          </w:p>
          <w:p>
            <w:pPr>
              <w:keepNext w:val="0"/>
              <w:keepLines w:val="0"/>
              <w:pageBreakBefore w:val="0"/>
              <w:widowControl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b/>
                <w:color w:val="000000"/>
                <w:kern w:val="0"/>
                <w:sz w:val="21"/>
                <w:szCs w:val="21"/>
                <w:highlight w:val="none"/>
              </w:rPr>
              <w:t>其他要求：</w:t>
            </w:r>
            <w:r>
              <w:rPr>
                <w:rFonts w:hint="eastAsia" w:ascii="宋体" w:hAnsi="宋体" w:eastAsia="宋体"/>
                <w:color w:val="000000"/>
                <w:sz w:val="21"/>
                <w:szCs w:val="21"/>
                <w:highlight w:val="none"/>
                <w:lang w:eastAsia="zh-CN"/>
              </w:rPr>
              <w:t>单位负责人（指单位的法定代表人或者法律、行政法规规定代表单位行使职权的主要负责人）为同一人、或者存在控股（指持有股份占公司股本总额的50%以上的绝对控股、相对控股或协议控股）、管理关系（指不具有出资持股关系的其它单位之间存在的管理与被管理关系，如一些事业单位）的不同单位，均不得同时参加本项目投标。（投标人需出具声明函）</w:t>
            </w:r>
            <w:r>
              <w:rPr>
                <w:rFonts w:hint="eastAsia" w:ascii="宋体" w:hAnsi="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50" w:type="dxa"/>
            <w:vAlign w:val="center"/>
          </w:tcPr>
          <w:p>
            <w:pPr>
              <w:keepNext w:val="0"/>
              <w:keepLines w:val="0"/>
              <w:pageBreakBefore w:val="0"/>
              <w:shd w:val="clear" w:fill="auto"/>
              <w:kinsoku/>
              <w:wordWrap/>
              <w:overflowPunct/>
              <w:topLinePunct w:val="0"/>
              <w:bidi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lang w:eastAsia="zh-CN"/>
              </w:rPr>
              <w:t>1.4.2</w:t>
            </w:r>
          </w:p>
        </w:tc>
        <w:tc>
          <w:tcPr>
            <w:tcW w:w="1798" w:type="dxa"/>
            <w:gridSpan w:val="2"/>
            <w:vAlign w:val="center"/>
          </w:tcPr>
          <w:p>
            <w:pPr>
              <w:keepNext w:val="0"/>
              <w:keepLines w:val="0"/>
              <w:pageBreakBefore w:val="0"/>
              <w:shd w:val="clear" w:fill="auto"/>
              <w:kinsoku/>
              <w:wordWrap/>
              <w:overflowPunct/>
              <w:topLinePunct w:val="0"/>
              <w:bidi w:val="0"/>
              <w:snapToGrid/>
              <w:spacing w:line="410" w:lineRule="exact"/>
              <w:ind w:left="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lang w:eastAsia="zh-CN"/>
              </w:rPr>
              <w:t>是否接受联合体投标</w:t>
            </w:r>
          </w:p>
        </w:tc>
        <w:tc>
          <w:tcPr>
            <w:tcW w:w="6767"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不接受</w:t>
            </w:r>
          </w:p>
          <w:p>
            <w:pPr>
              <w:keepNext w:val="0"/>
              <w:keepLines w:val="0"/>
              <w:pageBreakBefore w:val="0"/>
              <w:widowControl/>
              <w:shd w:val="clear" w:fill="auto"/>
              <w:kinsoku/>
              <w:wordWrap/>
              <w:overflowPunct/>
              <w:topLinePunct w:val="0"/>
              <w:autoSpaceDE w:val="0"/>
              <w:autoSpaceDN w:val="0"/>
              <w:bidi w:val="0"/>
              <w:adjustRightInd/>
              <w:snapToGrid/>
              <w:spacing w:line="410" w:lineRule="exact"/>
              <w:ind w:left="0" w:right="0" w:rightChars="0" w:firstLine="0" w:firstLineChars="0"/>
              <w:jc w:val="left"/>
              <w:textAlignment w:val="auto"/>
              <w:outlineLvl w:val="9"/>
              <w:rPr>
                <w:rFonts w:hint="eastAsia"/>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1.9.1</w:t>
            </w:r>
          </w:p>
        </w:tc>
        <w:tc>
          <w:tcPr>
            <w:tcW w:w="1798" w:type="dxa"/>
            <w:gridSpan w:val="2"/>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踏勘现场</w:t>
            </w:r>
          </w:p>
        </w:tc>
        <w:tc>
          <w:tcPr>
            <w:tcW w:w="6767" w:type="dxa"/>
            <w:vAlign w:val="top"/>
          </w:tcPr>
          <w:p>
            <w:pPr>
              <w:keepNext w:val="0"/>
              <w:keepLines w:val="0"/>
              <w:pageBreakBefore w:val="0"/>
              <w:widowControl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p>
            <w:pPr>
              <w:keepNext w:val="0"/>
              <w:keepLines w:val="0"/>
              <w:pageBreakBefore w:val="0"/>
              <w:widowControl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□组织，踏勘时间：</w:t>
            </w:r>
          </w:p>
          <w:p>
            <w:pPr>
              <w:keepNext w:val="0"/>
              <w:keepLines w:val="0"/>
              <w:pageBreakBefore w:val="0"/>
              <w:widowControl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踏勘集中地点：</w:t>
            </w:r>
            <w:r>
              <w:rPr>
                <w:rFonts w:hint="eastAsia" w:ascii="宋体" w:hAnsi="宋体" w:eastAsia="宋体" w:cs="宋体"/>
                <w:color w:val="000000"/>
                <w:kern w:val="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1.10.1</w:t>
            </w:r>
          </w:p>
        </w:tc>
        <w:tc>
          <w:tcPr>
            <w:tcW w:w="1798" w:type="dxa"/>
            <w:gridSpan w:val="2"/>
            <w:vAlign w:val="center"/>
          </w:tcPr>
          <w:p>
            <w:pPr>
              <w:keepNext w:val="0"/>
              <w:keepLines w:val="0"/>
              <w:pageBreakBefore w:val="0"/>
              <w:widowControl w:val="0"/>
              <w:shd w:val="clear" w:fill="auto"/>
              <w:kinsoku/>
              <w:wordWrap/>
              <w:overflowPunct/>
              <w:topLinePunct w:val="0"/>
              <w:autoSpaceDE w:val="0"/>
              <w:autoSpaceDN w:val="0"/>
              <w:bidi w:val="0"/>
              <w:adjustRightInd w:val="0"/>
              <w:snapToGrid/>
              <w:spacing w:line="40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投标预备会</w:t>
            </w:r>
          </w:p>
        </w:tc>
        <w:tc>
          <w:tcPr>
            <w:tcW w:w="6767" w:type="dxa"/>
            <w:vAlign w:val="top"/>
          </w:tcPr>
          <w:p>
            <w:pPr>
              <w:keepNext w:val="0"/>
              <w:keepLines w:val="0"/>
              <w:pageBreakBefore w:val="0"/>
              <w:widowControl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p>
            <w:pPr>
              <w:keepNext w:val="0"/>
              <w:keepLines w:val="0"/>
              <w:pageBreakBefore w:val="0"/>
              <w:widowControl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□召开，召开时间：</w:t>
            </w:r>
          </w:p>
          <w:p>
            <w:pPr>
              <w:keepNext w:val="0"/>
              <w:keepLines w:val="0"/>
              <w:pageBreakBefore w:val="0"/>
              <w:widowControl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1050" w:type="dxa"/>
            <w:vMerge w:val="restart"/>
            <w:vAlign w:val="top"/>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sz w:val="21"/>
                <w:szCs w:val="21"/>
                <w:highlight w:val="none"/>
              </w:rPr>
            </w:pPr>
          </w:p>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1.10.2</w:t>
            </w:r>
          </w:p>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000000"/>
                <w:kern w:val="0"/>
                <w:sz w:val="21"/>
                <w:szCs w:val="21"/>
                <w:highlight w:val="none"/>
              </w:rPr>
            </w:pPr>
          </w:p>
        </w:tc>
        <w:tc>
          <w:tcPr>
            <w:tcW w:w="1798" w:type="dxa"/>
            <w:gridSpan w:val="2"/>
            <w:vMerge w:val="restart"/>
            <w:vAlign w:val="center"/>
          </w:tcPr>
          <w:p>
            <w:pPr>
              <w:keepNext w:val="0"/>
              <w:keepLines w:val="0"/>
              <w:pageBreakBefore w:val="0"/>
              <w:widowControl w:val="0"/>
              <w:shd w:val="clear" w:fill="auto"/>
              <w:kinsoku/>
              <w:wordWrap/>
              <w:overflowPunct/>
              <w:topLinePunct w:val="0"/>
              <w:autoSpaceDE w:val="0"/>
              <w:autoSpaceDN w:val="0"/>
              <w:bidi w:val="0"/>
              <w:snapToGrid/>
              <w:spacing w:line="40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投标人在投标预备会前提出问题</w:t>
            </w:r>
          </w:p>
        </w:tc>
        <w:tc>
          <w:tcPr>
            <w:tcW w:w="6767" w:type="dxa"/>
            <w:vAlign w:val="top"/>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时间：如需召开，另行通知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50" w:type="dxa"/>
            <w:vMerge w:val="continue"/>
            <w:vAlign w:val="top"/>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000000"/>
                <w:kern w:val="0"/>
                <w:sz w:val="21"/>
                <w:szCs w:val="21"/>
                <w:highlight w:val="none"/>
              </w:rPr>
            </w:pPr>
          </w:p>
        </w:tc>
        <w:tc>
          <w:tcPr>
            <w:tcW w:w="1798" w:type="dxa"/>
            <w:gridSpan w:val="2"/>
            <w:vMerge w:val="continue"/>
            <w:vAlign w:val="top"/>
          </w:tcPr>
          <w:p>
            <w:pPr>
              <w:keepNext w:val="0"/>
              <w:keepLines w:val="0"/>
              <w:pageBreakBefore w:val="0"/>
              <w:widowControl w:val="0"/>
              <w:shd w:val="clear" w:fill="auto"/>
              <w:kinsoku/>
              <w:wordWrap/>
              <w:overflowPunct/>
              <w:topLinePunct w:val="0"/>
              <w:autoSpaceDE w:val="0"/>
              <w:autoSpaceDN w:val="0"/>
              <w:bidi w:val="0"/>
              <w:snapToGrid/>
              <w:spacing w:line="400" w:lineRule="exact"/>
              <w:ind w:left="0" w:right="0"/>
              <w:jc w:val="center"/>
              <w:textAlignment w:val="auto"/>
              <w:rPr>
                <w:rFonts w:hint="eastAsia" w:ascii="宋体" w:hAnsi="宋体" w:eastAsia="宋体" w:cs="宋体"/>
                <w:color w:val="000000"/>
                <w:kern w:val="0"/>
                <w:sz w:val="21"/>
                <w:szCs w:val="21"/>
                <w:highlight w:val="none"/>
              </w:rPr>
            </w:pPr>
          </w:p>
        </w:tc>
        <w:tc>
          <w:tcPr>
            <w:tcW w:w="6767" w:type="dxa"/>
            <w:vAlign w:val="top"/>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形式：将提出的问题按要求格式发送至</w:t>
            </w:r>
            <w:r>
              <w:rPr>
                <w:rFonts w:hint="eastAsia" w:ascii="宋体" w:hAnsi="宋体" w:eastAsia="宋体" w:cs="宋体"/>
                <w:color w:val="auto"/>
                <w:sz w:val="21"/>
                <w:szCs w:val="21"/>
                <w:highlight w:val="none"/>
                <w:lang w:val="en-US" w:eastAsia="zh-CN"/>
              </w:rPr>
              <w:t>公共资源交易中心</w:t>
            </w: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val="en-US" w:eastAsia="zh-CN"/>
              </w:rPr>
              <w:t>招投标</w:t>
            </w:r>
            <w:r>
              <w:rPr>
                <w:rFonts w:hint="eastAsia" w:ascii="宋体" w:hAnsi="宋体" w:eastAsia="宋体" w:cs="宋体"/>
                <w:color w:val="auto"/>
                <w:sz w:val="21"/>
                <w:szCs w:val="21"/>
                <w:highlight w:val="none"/>
              </w:rPr>
              <w:t>系统，以便招标人澄清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Merge w:val="restart"/>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1.10.3</w:t>
            </w:r>
          </w:p>
        </w:tc>
        <w:tc>
          <w:tcPr>
            <w:tcW w:w="1798" w:type="dxa"/>
            <w:gridSpan w:val="2"/>
            <w:vAlign w:val="center"/>
          </w:tcPr>
          <w:p>
            <w:pPr>
              <w:keepNext w:val="0"/>
              <w:keepLines w:val="0"/>
              <w:pageBreakBefore w:val="0"/>
              <w:widowControl w:val="0"/>
              <w:shd w:val="clear" w:fill="auto"/>
              <w:kinsoku/>
              <w:wordWrap/>
              <w:overflowPunct/>
              <w:topLinePunct w:val="0"/>
              <w:autoSpaceDE w:val="0"/>
              <w:autoSpaceDN w:val="0"/>
              <w:bidi w:val="0"/>
              <w:snapToGrid/>
              <w:spacing w:line="40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招标文件澄清发出的形式</w:t>
            </w:r>
          </w:p>
        </w:tc>
        <w:tc>
          <w:tcPr>
            <w:tcW w:w="6767"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招标人可以以澄清文件的方式澄清招标文件，并按要求发布至</w:t>
            </w:r>
            <w:r>
              <w:rPr>
                <w:rFonts w:hint="eastAsia" w:ascii="宋体" w:hAnsi="宋体" w:eastAsia="宋体" w:cs="宋体"/>
                <w:color w:val="auto"/>
                <w:sz w:val="21"/>
                <w:szCs w:val="21"/>
                <w:highlight w:val="none"/>
                <w:lang w:val="en-US" w:eastAsia="zh-CN"/>
              </w:rPr>
              <w:t>公共资源交易中心</w:t>
            </w: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val="en-US" w:eastAsia="zh-CN"/>
              </w:rPr>
              <w:t>招投标</w:t>
            </w:r>
            <w:r>
              <w:rPr>
                <w:rFonts w:hint="eastAsia" w:ascii="宋体" w:hAnsi="宋体" w:eastAsia="宋体" w:cs="宋体"/>
                <w:color w:val="auto"/>
                <w:sz w:val="21"/>
                <w:szCs w:val="21"/>
                <w:highlight w:val="none"/>
              </w:rPr>
              <w:t>系统，投标人可自行下载。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Merge w:val="continue"/>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p>
        </w:tc>
        <w:tc>
          <w:tcPr>
            <w:tcW w:w="1798" w:type="dxa"/>
            <w:gridSpan w:val="2"/>
            <w:vAlign w:val="center"/>
          </w:tcPr>
          <w:p>
            <w:pPr>
              <w:keepNext w:val="0"/>
              <w:keepLines w:val="0"/>
              <w:pageBreakBefore w:val="0"/>
              <w:widowControl w:val="0"/>
              <w:shd w:val="clear" w:fill="auto"/>
              <w:kinsoku/>
              <w:wordWrap/>
              <w:overflowPunct/>
              <w:topLinePunct w:val="0"/>
              <w:autoSpaceDE w:val="0"/>
              <w:autoSpaceDN w:val="0"/>
              <w:bidi w:val="0"/>
              <w:snapToGrid/>
              <w:spacing w:line="40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招标人书面澄清的时间</w:t>
            </w:r>
          </w:p>
        </w:tc>
        <w:tc>
          <w:tcPr>
            <w:tcW w:w="6767" w:type="dxa"/>
            <w:vAlign w:val="top"/>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投标截止时间15天前，如果澄清招标文件的时间距投标截止时间不足15天，相应延长投标截止时间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w:t>
            </w:r>
          </w:p>
        </w:tc>
        <w:tc>
          <w:tcPr>
            <w:tcW w:w="1798" w:type="dxa"/>
            <w:gridSpan w:val="2"/>
            <w:vAlign w:val="center"/>
          </w:tcPr>
          <w:p>
            <w:pPr>
              <w:keepNext w:val="0"/>
              <w:keepLines w:val="0"/>
              <w:pageBreakBefore w:val="0"/>
              <w:widowControl w:val="0"/>
              <w:shd w:val="clear" w:fill="auto"/>
              <w:kinsoku/>
              <w:wordWrap/>
              <w:overflowPunct/>
              <w:topLinePunct w:val="0"/>
              <w:autoSpaceDE w:val="0"/>
              <w:autoSpaceDN w:val="0"/>
              <w:bidi w:val="0"/>
              <w:adjustRightInd w:val="0"/>
              <w:snapToGrid/>
              <w:spacing w:line="40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分包</w:t>
            </w:r>
          </w:p>
        </w:tc>
        <w:tc>
          <w:tcPr>
            <w:tcW w:w="6767" w:type="dxa"/>
            <w:vAlign w:val="top"/>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不允许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1.12 </w:t>
            </w:r>
          </w:p>
        </w:tc>
        <w:tc>
          <w:tcPr>
            <w:tcW w:w="1798" w:type="dxa"/>
            <w:gridSpan w:val="2"/>
            <w:vAlign w:val="center"/>
          </w:tcPr>
          <w:p>
            <w:pPr>
              <w:keepNext w:val="0"/>
              <w:keepLines w:val="0"/>
              <w:pageBreakBefore w:val="0"/>
              <w:widowControl w:val="0"/>
              <w:shd w:val="clear" w:fill="auto"/>
              <w:kinsoku/>
              <w:wordWrap/>
              <w:overflowPunct/>
              <w:topLinePunct w:val="0"/>
              <w:autoSpaceDE w:val="0"/>
              <w:autoSpaceDN w:val="0"/>
              <w:bidi w:val="0"/>
              <w:adjustRightInd w:val="0"/>
              <w:snapToGrid/>
              <w:spacing w:line="40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偏离</w:t>
            </w:r>
          </w:p>
        </w:tc>
        <w:tc>
          <w:tcPr>
            <w:tcW w:w="6767" w:type="dxa"/>
            <w:vAlign w:val="top"/>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□允许，偏差范围：</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2.1 </w:t>
            </w:r>
          </w:p>
        </w:tc>
        <w:tc>
          <w:tcPr>
            <w:tcW w:w="1798" w:type="dxa"/>
            <w:gridSpan w:val="2"/>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构成招标文件的其他材料</w:t>
            </w:r>
          </w:p>
        </w:tc>
        <w:tc>
          <w:tcPr>
            <w:tcW w:w="6767" w:type="dxa"/>
            <w:vAlign w:val="top"/>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除招标文件外，以及招标人在招标期间发出的澄清、修改、补充、补遗和其它有效正式函件等内容均是招标文件的组成部分。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0" w:type="dxa"/>
            <w:vMerge w:val="restart"/>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2.2.1</w:t>
            </w:r>
          </w:p>
        </w:tc>
        <w:tc>
          <w:tcPr>
            <w:tcW w:w="1798" w:type="dxa"/>
            <w:gridSpan w:val="2"/>
            <w:vMerge w:val="restart"/>
            <w:vAlign w:val="center"/>
          </w:tcPr>
          <w:p>
            <w:pPr>
              <w:keepNext w:val="0"/>
              <w:keepLines w:val="0"/>
              <w:pageBreakBefore w:val="0"/>
              <w:widowControl w:val="0"/>
              <w:shd w:val="clear" w:fill="auto"/>
              <w:kinsoku/>
              <w:wordWrap/>
              <w:overflowPunct/>
              <w:topLinePunct w:val="0"/>
              <w:autoSpaceDE w:val="0"/>
              <w:autoSpaceDN w:val="0"/>
              <w:bidi w:val="0"/>
              <w:adjustRightInd w:val="0"/>
              <w:snapToGrid/>
              <w:spacing w:line="40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投标人要求澄清招标文件</w:t>
            </w:r>
          </w:p>
        </w:tc>
        <w:tc>
          <w:tcPr>
            <w:tcW w:w="6767"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时间：按招标文件规定的投标文件截止</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1050" w:type="dxa"/>
            <w:vMerge w:val="continue"/>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p>
        </w:tc>
        <w:tc>
          <w:tcPr>
            <w:tcW w:w="1798" w:type="dxa"/>
            <w:gridSpan w:val="2"/>
            <w:vMerge w:val="continue"/>
            <w:vAlign w:val="center"/>
          </w:tcPr>
          <w:p>
            <w:pPr>
              <w:keepNext w:val="0"/>
              <w:keepLines w:val="0"/>
              <w:pageBreakBefore w:val="0"/>
              <w:widowControl w:val="0"/>
              <w:shd w:val="clear" w:fill="auto"/>
              <w:kinsoku/>
              <w:wordWrap/>
              <w:overflowPunct/>
              <w:topLinePunct w:val="0"/>
              <w:autoSpaceDE w:val="0"/>
              <w:autoSpaceDN w:val="0"/>
              <w:bidi w:val="0"/>
              <w:adjustRightInd w:val="0"/>
              <w:snapToGrid/>
              <w:spacing w:line="400" w:lineRule="exact"/>
              <w:ind w:left="0" w:right="0"/>
              <w:jc w:val="center"/>
              <w:textAlignment w:val="auto"/>
              <w:rPr>
                <w:rFonts w:hint="eastAsia" w:ascii="宋体" w:hAnsi="宋体" w:eastAsia="宋体" w:cs="宋体"/>
                <w:color w:val="000000"/>
                <w:kern w:val="0"/>
                <w:sz w:val="21"/>
                <w:szCs w:val="21"/>
                <w:highlight w:val="none"/>
              </w:rPr>
            </w:pPr>
          </w:p>
        </w:tc>
        <w:tc>
          <w:tcPr>
            <w:tcW w:w="6767"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形式：按要求格式发送至</w:t>
            </w:r>
            <w:r>
              <w:rPr>
                <w:rFonts w:hint="eastAsia" w:ascii="宋体" w:hAnsi="宋体" w:eastAsia="宋体" w:cs="宋体"/>
                <w:color w:val="auto"/>
                <w:sz w:val="21"/>
                <w:szCs w:val="21"/>
                <w:highlight w:val="none"/>
                <w:lang w:val="en-US" w:eastAsia="zh-CN"/>
              </w:rPr>
              <w:t>公共资源交易中心</w:t>
            </w: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val="en-US" w:eastAsia="zh-CN"/>
              </w:rPr>
              <w:t>招投标</w:t>
            </w:r>
            <w:r>
              <w:rPr>
                <w:rFonts w:hint="eastAsia" w:ascii="宋体" w:hAnsi="宋体" w:eastAsia="宋体" w:cs="宋体"/>
                <w:color w:val="auto"/>
                <w:sz w:val="21"/>
                <w:szCs w:val="21"/>
                <w:highlight w:val="none"/>
              </w:rPr>
              <w:t>系统，以便招标人澄清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2.2.2</w:t>
            </w:r>
          </w:p>
        </w:tc>
        <w:tc>
          <w:tcPr>
            <w:tcW w:w="1798" w:type="dxa"/>
            <w:gridSpan w:val="2"/>
            <w:vAlign w:val="center"/>
          </w:tcPr>
          <w:p>
            <w:pPr>
              <w:keepNext w:val="0"/>
              <w:keepLines w:val="0"/>
              <w:pageBreakBefore w:val="0"/>
              <w:widowControl w:val="0"/>
              <w:shd w:val="clear" w:fill="auto"/>
              <w:kinsoku/>
              <w:wordWrap/>
              <w:overflowPunct/>
              <w:topLinePunct w:val="0"/>
              <w:autoSpaceDE w:val="0"/>
              <w:autoSpaceDN w:val="0"/>
              <w:bidi w:val="0"/>
              <w:snapToGrid/>
              <w:spacing w:line="40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招标文件澄清发出的形式</w:t>
            </w:r>
          </w:p>
        </w:tc>
        <w:tc>
          <w:tcPr>
            <w:tcW w:w="6767"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按要求发布至</w:t>
            </w:r>
            <w:r>
              <w:rPr>
                <w:rFonts w:hint="eastAsia" w:ascii="宋体" w:hAnsi="宋体" w:eastAsia="宋体" w:cs="宋体"/>
                <w:color w:val="auto"/>
                <w:sz w:val="21"/>
                <w:szCs w:val="21"/>
                <w:highlight w:val="none"/>
                <w:lang w:val="en-US" w:eastAsia="zh-CN"/>
              </w:rPr>
              <w:t>公共资源交易中心</w:t>
            </w: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val="en-US" w:eastAsia="zh-CN"/>
              </w:rPr>
              <w:t>招投标</w:t>
            </w:r>
            <w:r>
              <w:rPr>
                <w:rFonts w:hint="eastAsia" w:ascii="宋体" w:hAnsi="宋体" w:eastAsia="宋体" w:cs="宋体"/>
                <w:color w:val="auto"/>
                <w:sz w:val="21"/>
                <w:szCs w:val="21"/>
                <w:highlight w:val="none"/>
              </w:rPr>
              <w:t>系统，投标人可自行下载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50" w:type="dxa"/>
            <w:vMerge w:val="restart"/>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2.2.3</w:t>
            </w:r>
          </w:p>
        </w:tc>
        <w:tc>
          <w:tcPr>
            <w:tcW w:w="1798" w:type="dxa"/>
            <w:gridSpan w:val="2"/>
            <w:vMerge w:val="restart"/>
            <w:vAlign w:val="center"/>
          </w:tcPr>
          <w:p>
            <w:pPr>
              <w:keepNext w:val="0"/>
              <w:keepLines w:val="0"/>
              <w:pageBreakBefore w:val="0"/>
              <w:widowControl w:val="0"/>
              <w:shd w:val="clear" w:fill="auto"/>
              <w:kinsoku/>
              <w:wordWrap/>
              <w:overflowPunct/>
              <w:topLinePunct w:val="0"/>
              <w:autoSpaceDE w:val="0"/>
              <w:autoSpaceDN w:val="0"/>
              <w:bidi w:val="0"/>
              <w:snapToGrid/>
              <w:spacing w:line="40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投标人确认收到招标文件澄清</w:t>
            </w:r>
          </w:p>
        </w:tc>
        <w:tc>
          <w:tcPr>
            <w:tcW w:w="6767"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highlight w:val="none"/>
              </w:rPr>
            </w:pPr>
            <w:r>
              <w:rPr>
                <w:rFonts w:hint="eastAsia" w:ascii="宋体" w:hAnsi="宋体" w:eastAsia="宋体" w:cs="宋体"/>
                <w:color w:val="auto"/>
                <w:sz w:val="21"/>
                <w:szCs w:val="21"/>
                <w:highlight w:val="none"/>
              </w:rPr>
              <w:t>时间：收到招标文件澄清24小时内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050" w:type="dxa"/>
            <w:vMerge w:val="continue"/>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p>
        </w:tc>
        <w:tc>
          <w:tcPr>
            <w:tcW w:w="1798" w:type="dxa"/>
            <w:gridSpan w:val="2"/>
            <w:vMerge w:val="continue"/>
            <w:vAlign w:val="center"/>
          </w:tcPr>
          <w:p>
            <w:pPr>
              <w:keepNext w:val="0"/>
              <w:keepLines w:val="0"/>
              <w:pageBreakBefore w:val="0"/>
              <w:widowControl w:val="0"/>
              <w:shd w:val="clear" w:fill="auto"/>
              <w:kinsoku/>
              <w:wordWrap/>
              <w:overflowPunct/>
              <w:topLinePunct w:val="0"/>
              <w:autoSpaceDE w:val="0"/>
              <w:autoSpaceDN w:val="0"/>
              <w:bidi w:val="0"/>
              <w:snapToGrid/>
              <w:spacing w:line="400" w:lineRule="exact"/>
              <w:ind w:left="0" w:right="0"/>
              <w:jc w:val="center"/>
              <w:textAlignment w:val="auto"/>
              <w:rPr>
                <w:rFonts w:hint="eastAsia" w:ascii="宋体" w:hAnsi="宋体" w:eastAsia="宋体" w:cs="宋体"/>
                <w:color w:val="auto"/>
                <w:sz w:val="21"/>
                <w:szCs w:val="21"/>
                <w:highlight w:val="none"/>
              </w:rPr>
            </w:pPr>
          </w:p>
        </w:tc>
        <w:tc>
          <w:tcPr>
            <w:tcW w:w="6767"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highlight w:val="none"/>
              </w:rPr>
            </w:pPr>
            <w:r>
              <w:rPr>
                <w:rFonts w:hint="eastAsia" w:ascii="宋体" w:hAnsi="宋体" w:eastAsia="宋体" w:cs="宋体"/>
                <w:color w:val="auto"/>
                <w:sz w:val="21"/>
                <w:szCs w:val="21"/>
                <w:highlight w:val="none"/>
              </w:rPr>
              <w:t>形式：按要求格式发送回执至</w:t>
            </w:r>
            <w:r>
              <w:rPr>
                <w:rFonts w:hint="eastAsia" w:ascii="宋体" w:hAnsi="宋体" w:eastAsia="宋体" w:cs="宋体"/>
                <w:color w:val="auto"/>
                <w:sz w:val="21"/>
                <w:szCs w:val="21"/>
                <w:highlight w:val="none"/>
                <w:lang w:val="en-US" w:eastAsia="zh-CN"/>
              </w:rPr>
              <w:t>公共资源交易中心</w:t>
            </w: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val="en-US" w:eastAsia="zh-CN"/>
              </w:rPr>
              <w:t>招投标</w:t>
            </w:r>
            <w:r>
              <w:rPr>
                <w:rFonts w:hint="eastAsia" w:ascii="宋体" w:hAnsi="宋体" w:eastAsia="宋体" w:cs="宋体"/>
                <w:color w:val="auto"/>
                <w:sz w:val="21"/>
                <w:szCs w:val="21"/>
                <w:highlight w:val="none"/>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1050"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2.3.1</w:t>
            </w:r>
          </w:p>
        </w:tc>
        <w:tc>
          <w:tcPr>
            <w:tcW w:w="1798" w:type="dxa"/>
            <w:gridSpan w:val="2"/>
            <w:vAlign w:val="center"/>
          </w:tcPr>
          <w:p>
            <w:pPr>
              <w:keepNext w:val="0"/>
              <w:keepLines w:val="0"/>
              <w:pageBreakBefore w:val="0"/>
              <w:widowControl w:val="0"/>
              <w:shd w:val="clear" w:fill="auto"/>
              <w:kinsoku/>
              <w:wordWrap/>
              <w:overflowPunct/>
              <w:topLinePunct w:val="0"/>
              <w:autoSpaceDE w:val="0"/>
              <w:autoSpaceDN w:val="0"/>
              <w:bidi w:val="0"/>
              <w:snapToGrid/>
              <w:spacing w:line="40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招标文件修改发出的形式</w:t>
            </w:r>
          </w:p>
        </w:tc>
        <w:tc>
          <w:tcPr>
            <w:tcW w:w="6767"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按要求发布至</w:t>
            </w:r>
            <w:r>
              <w:rPr>
                <w:rFonts w:hint="eastAsia" w:ascii="宋体" w:hAnsi="宋体" w:eastAsia="宋体" w:cs="宋体"/>
                <w:color w:val="auto"/>
                <w:sz w:val="21"/>
                <w:szCs w:val="21"/>
                <w:highlight w:val="none"/>
                <w:lang w:val="en-US" w:eastAsia="zh-CN"/>
              </w:rPr>
              <w:t>公共资源交易中心</w:t>
            </w: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val="en-US" w:eastAsia="zh-CN"/>
              </w:rPr>
              <w:t>招投标</w:t>
            </w:r>
            <w:r>
              <w:rPr>
                <w:rFonts w:hint="eastAsia" w:ascii="宋体" w:hAnsi="宋体" w:eastAsia="宋体" w:cs="宋体"/>
                <w:color w:val="auto"/>
                <w:sz w:val="21"/>
                <w:szCs w:val="21"/>
                <w:highlight w:val="none"/>
              </w:rPr>
              <w:t>系统，投标人可自行下载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050" w:type="dxa"/>
            <w:vMerge w:val="restart"/>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2.3.2</w:t>
            </w:r>
          </w:p>
        </w:tc>
        <w:tc>
          <w:tcPr>
            <w:tcW w:w="1798" w:type="dxa"/>
            <w:gridSpan w:val="2"/>
            <w:vMerge w:val="restart"/>
            <w:vAlign w:val="center"/>
          </w:tcPr>
          <w:p>
            <w:pPr>
              <w:keepNext w:val="0"/>
              <w:keepLines w:val="0"/>
              <w:pageBreakBefore w:val="0"/>
              <w:widowControl w:val="0"/>
              <w:shd w:val="clear" w:fill="auto"/>
              <w:kinsoku/>
              <w:wordWrap/>
              <w:overflowPunct/>
              <w:topLinePunct w:val="0"/>
              <w:autoSpaceDE w:val="0"/>
              <w:autoSpaceDN w:val="0"/>
              <w:bidi w:val="0"/>
              <w:adjustRightInd w:val="0"/>
              <w:snapToGrid/>
              <w:spacing w:line="40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投标人确认收到招标文件修改</w:t>
            </w:r>
          </w:p>
        </w:tc>
        <w:tc>
          <w:tcPr>
            <w:tcW w:w="6767"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highlight w:val="none"/>
              </w:rPr>
            </w:pPr>
            <w:r>
              <w:rPr>
                <w:rFonts w:hint="eastAsia" w:ascii="宋体" w:hAnsi="宋体" w:eastAsia="宋体" w:cs="宋体"/>
                <w:color w:val="auto"/>
                <w:sz w:val="21"/>
                <w:szCs w:val="21"/>
                <w:highlight w:val="none"/>
              </w:rPr>
              <w:t>时间：收到招标文件修改24小时内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50" w:type="dxa"/>
            <w:vMerge w:val="continue"/>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p>
        </w:tc>
        <w:tc>
          <w:tcPr>
            <w:tcW w:w="1798" w:type="dxa"/>
            <w:gridSpan w:val="2"/>
            <w:vMerge w:val="continue"/>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p>
        </w:tc>
        <w:tc>
          <w:tcPr>
            <w:tcW w:w="6767"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highlight w:val="none"/>
              </w:rPr>
            </w:pPr>
            <w:r>
              <w:rPr>
                <w:rFonts w:hint="eastAsia" w:ascii="宋体" w:hAnsi="宋体" w:eastAsia="宋体" w:cs="宋体"/>
                <w:color w:val="auto"/>
                <w:sz w:val="21"/>
                <w:szCs w:val="21"/>
                <w:highlight w:val="none"/>
              </w:rPr>
              <w:t>形式：按要求发布至</w:t>
            </w:r>
            <w:r>
              <w:rPr>
                <w:rFonts w:hint="eastAsia" w:ascii="宋体" w:hAnsi="宋体" w:eastAsia="宋体" w:cs="宋体"/>
                <w:color w:val="auto"/>
                <w:sz w:val="21"/>
                <w:szCs w:val="21"/>
                <w:highlight w:val="none"/>
                <w:lang w:val="en-US" w:eastAsia="zh-CN"/>
              </w:rPr>
              <w:t>公共资源交易中心</w:t>
            </w: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val="en-US" w:eastAsia="zh-CN"/>
              </w:rPr>
              <w:t>招投标</w:t>
            </w:r>
            <w:r>
              <w:rPr>
                <w:rFonts w:hint="eastAsia" w:ascii="宋体" w:hAnsi="宋体" w:eastAsia="宋体" w:cs="宋体"/>
                <w:color w:val="auto"/>
                <w:sz w:val="21"/>
                <w:szCs w:val="21"/>
                <w:highlight w:val="none"/>
              </w:rPr>
              <w:t>系统，投标人可自行下载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3.1.1</w:t>
            </w:r>
          </w:p>
        </w:tc>
        <w:tc>
          <w:tcPr>
            <w:tcW w:w="1798" w:type="dxa"/>
            <w:gridSpan w:val="2"/>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构成投标文件的其他材料</w:t>
            </w:r>
          </w:p>
        </w:tc>
        <w:tc>
          <w:tcPr>
            <w:tcW w:w="6767"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both"/>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kern w:val="2"/>
                <w:sz w:val="21"/>
                <w:szCs w:val="21"/>
                <w:highlight w:val="none"/>
              </w:rPr>
              <w:t>本项目发出的澄清、修改及补充通知等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3.2.1</w:t>
            </w:r>
          </w:p>
        </w:tc>
        <w:tc>
          <w:tcPr>
            <w:tcW w:w="1798" w:type="dxa"/>
            <w:gridSpan w:val="2"/>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增值税税金的计算方法</w:t>
            </w:r>
          </w:p>
        </w:tc>
        <w:tc>
          <w:tcPr>
            <w:tcW w:w="6767"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按国家标准执行。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3.2.4</w:t>
            </w:r>
          </w:p>
        </w:tc>
        <w:tc>
          <w:tcPr>
            <w:tcW w:w="1798" w:type="dxa"/>
            <w:gridSpan w:val="2"/>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最高投标限价</w:t>
            </w:r>
          </w:p>
        </w:tc>
        <w:tc>
          <w:tcPr>
            <w:tcW w:w="6767"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textAlignment w:val="auto"/>
              <w:rPr>
                <w:rFonts w:hint="eastAsia" w:ascii="宋体" w:hAnsi="宋体" w:eastAsia="宋体" w:cs="宋体"/>
                <w:szCs w:val="21"/>
                <w:highlight w:val="none"/>
              </w:rPr>
            </w:pPr>
            <w:r>
              <w:rPr>
                <w:rFonts w:hint="eastAsia" w:ascii="宋体" w:hAnsi="宋体" w:eastAsia="宋体" w:cs="宋体"/>
                <w:szCs w:val="21"/>
                <w:highlight w:val="none"/>
              </w:rPr>
              <w:t>□无</w:t>
            </w:r>
          </w:p>
          <w:p>
            <w:pPr>
              <w:keepNext w:val="0"/>
              <w:keepLines w:val="0"/>
              <w:widowControl/>
              <w:suppressLineNumbers w:val="0"/>
              <w:jc w:val="left"/>
              <w:rPr>
                <w:rFonts w:hint="eastAsia" w:ascii="宋体" w:hAnsi="宋体" w:cs="宋体"/>
                <w:szCs w:val="21"/>
                <w:highlight w:val="none"/>
                <w:u w:val="single"/>
              </w:rPr>
            </w:pPr>
            <w:r>
              <w:rPr>
                <w:rFonts w:hint="eastAsia" w:ascii="宋体" w:hAnsi="宋体" w:eastAsia="宋体" w:cs="宋体"/>
                <w:szCs w:val="21"/>
                <w:highlight w:val="none"/>
              </w:rPr>
              <w:t>■有，最高投标限价为(大写)：</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en-US" w:eastAsia="zh-CN" w:bidi="ar"/>
              </w:rPr>
              <w:t>陆仟贰佰叁拾柒万肆仟叁佰叁拾玖元伍角陆分</w:t>
            </w:r>
          </w:p>
          <w:p>
            <w:pPr>
              <w:keepNext w:val="0"/>
              <w:keepLines w:val="0"/>
              <w:pageBreakBefore w:val="0"/>
              <w:shd w:val="clear" w:fill="auto"/>
              <w:kinsoku/>
              <w:wordWrap/>
              <w:overflowPunct/>
              <w:topLinePunct w:val="0"/>
              <w:autoSpaceDE w:val="0"/>
              <w:autoSpaceDN w:val="0"/>
              <w:bidi w:val="0"/>
              <w:snapToGrid/>
              <w:spacing w:line="410" w:lineRule="exact"/>
              <w:ind w:left="0" w:right="0"/>
              <w:textAlignment w:val="auto"/>
              <w:rPr>
                <w:rFonts w:hint="eastAsia" w:ascii="宋体" w:hAnsi="宋体" w:eastAsia="宋体" w:cs="宋体"/>
                <w:szCs w:val="21"/>
                <w:highlight w:val="none"/>
              </w:rPr>
            </w:pPr>
            <w:r>
              <w:rPr>
                <w:rFonts w:hint="eastAsia" w:ascii="宋体" w:hAnsi="宋体" w:eastAsia="宋体" w:cs="宋体"/>
                <w:szCs w:val="21"/>
                <w:highlight w:val="none"/>
              </w:rPr>
              <w:t>(小写)：</w:t>
            </w:r>
            <w:r>
              <w:rPr>
                <w:rFonts w:hint="eastAsia" w:ascii="宋体" w:hAnsi="宋体" w:eastAsia="宋体" w:cs="宋体"/>
                <w:szCs w:val="21"/>
                <w:highlight w:val="none"/>
                <w:u w:val="single"/>
              </w:rPr>
              <w:t xml:space="preserve"> 62374339.56 </w:t>
            </w:r>
            <w:r>
              <w:rPr>
                <w:rFonts w:hint="eastAsia" w:ascii="宋体" w:hAnsi="宋体" w:eastAsia="宋体" w:cs="宋体"/>
                <w:szCs w:val="21"/>
                <w:highlight w:val="none"/>
              </w:rPr>
              <w:t>元。</w:t>
            </w:r>
          </w:p>
          <w:p>
            <w:pPr>
              <w:keepNext w:val="0"/>
              <w:keepLines w:val="0"/>
              <w:pageBreakBefore w:val="0"/>
              <w:shd w:val="clear" w:fill="auto"/>
              <w:kinsoku/>
              <w:wordWrap/>
              <w:overflowPunct/>
              <w:topLinePunct w:val="0"/>
              <w:autoSpaceDE w:val="0"/>
              <w:autoSpaceDN w:val="0"/>
              <w:bidi w:val="0"/>
              <w:snapToGrid/>
              <w:spacing w:line="410" w:lineRule="exact"/>
              <w:ind w:left="0" w:right="0"/>
              <w:textAlignment w:val="auto"/>
              <w:rPr>
                <w:rFonts w:hint="eastAsia" w:ascii="宋体" w:hAnsi="宋体" w:eastAsia="宋体" w:cs="宋体"/>
                <w:szCs w:val="21"/>
                <w:highlight w:val="none"/>
              </w:rPr>
            </w:pPr>
            <w:r>
              <w:rPr>
                <w:rFonts w:hint="eastAsia" w:ascii="宋体" w:hAnsi="宋体" w:eastAsia="宋体" w:cs="宋体"/>
                <w:szCs w:val="21"/>
                <w:highlight w:val="none"/>
              </w:rPr>
              <w:t>其中：</w:t>
            </w:r>
          </w:p>
          <w:p>
            <w:pPr>
              <w:keepNext w:val="0"/>
              <w:keepLines w:val="0"/>
              <w:pageBreakBefore w:val="0"/>
              <w:shd w:val="clear" w:fill="auto"/>
              <w:kinsoku/>
              <w:wordWrap/>
              <w:overflowPunct/>
              <w:topLinePunct w:val="0"/>
              <w:autoSpaceDE w:val="0"/>
              <w:autoSpaceDN w:val="0"/>
              <w:bidi w:val="0"/>
              <w:snapToGrid/>
              <w:spacing w:line="410" w:lineRule="exact"/>
              <w:ind w:left="0" w:right="0"/>
              <w:textAlignment w:val="auto"/>
              <w:rPr>
                <w:rFonts w:hint="eastAsia" w:ascii="宋体" w:hAnsi="宋体" w:eastAsia="宋体" w:cs="宋体"/>
                <w:szCs w:val="21"/>
                <w:highlight w:val="none"/>
              </w:rPr>
            </w:pPr>
            <w:r>
              <w:rPr>
                <w:rFonts w:hint="eastAsia" w:ascii="宋体" w:hAnsi="宋体" w:eastAsia="宋体" w:cs="宋体"/>
                <w:szCs w:val="21"/>
                <w:highlight w:val="none"/>
              </w:rPr>
              <w:t>(一)分部分项工程费：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p>
          <w:p>
            <w:pPr>
              <w:keepNext w:val="0"/>
              <w:keepLines w:val="0"/>
              <w:pageBreakBefore w:val="0"/>
              <w:shd w:val="clear" w:fill="auto"/>
              <w:kinsoku/>
              <w:wordWrap/>
              <w:overflowPunct/>
              <w:topLinePunct w:val="0"/>
              <w:autoSpaceDE w:val="0"/>
              <w:autoSpaceDN w:val="0"/>
              <w:bidi w:val="0"/>
              <w:snapToGrid/>
              <w:spacing w:line="410" w:lineRule="exact"/>
              <w:ind w:left="0" w:right="0"/>
              <w:textAlignment w:val="auto"/>
              <w:rPr>
                <w:rFonts w:hint="eastAsia" w:ascii="宋体" w:hAnsi="宋体" w:eastAsia="宋体" w:cs="宋体"/>
                <w:szCs w:val="21"/>
                <w:highlight w:val="none"/>
              </w:rPr>
            </w:pPr>
            <w:r>
              <w:rPr>
                <w:rFonts w:hint="eastAsia" w:ascii="宋体" w:hAnsi="宋体" w:eastAsia="宋体" w:cs="宋体"/>
                <w:szCs w:val="21"/>
                <w:highlight w:val="none"/>
              </w:rPr>
              <w:t>(二)措施项目费：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p>
          <w:p>
            <w:pPr>
              <w:keepNext w:val="0"/>
              <w:keepLines w:val="0"/>
              <w:pageBreakBefore w:val="0"/>
              <w:shd w:val="clear" w:fill="auto"/>
              <w:kinsoku/>
              <w:wordWrap/>
              <w:overflowPunct/>
              <w:topLinePunct w:val="0"/>
              <w:autoSpaceDE w:val="0"/>
              <w:autoSpaceDN w:val="0"/>
              <w:bidi w:val="0"/>
              <w:snapToGrid/>
              <w:spacing w:line="410" w:lineRule="exact"/>
              <w:ind w:left="0" w:right="0"/>
              <w:textAlignment w:val="auto"/>
              <w:rPr>
                <w:rFonts w:hint="eastAsia" w:ascii="宋体" w:hAnsi="宋体" w:eastAsia="宋体" w:cs="宋体"/>
                <w:szCs w:val="21"/>
                <w:highlight w:val="none"/>
              </w:rPr>
            </w:pPr>
            <w:r>
              <w:rPr>
                <w:rFonts w:hint="eastAsia" w:ascii="宋体" w:hAnsi="宋体" w:eastAsia="宋体" w:cs="宋体"/>
                <w:szCs w:val="21"/>
                <w:highlight w:val="none"/>
              </w:rPr>
              <w:t>(其中：安全文明施工费：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p>
          <w:p>
            <w:pPr>
              <w:keepNext w:val="0"/>
              <w:keepLines w:val="0"/>
              <w:pageBreakBefore w:val="0"/>
              <w:shd w:val="clear" w:fill="auto"/>
              <w:kinsoku/>
              <w:wordWrap/>
              <w:overflowPunct/>
              <w:topLinePunct w:val="0"/>
              <w:autoSpaceDE w:val="0"/>
              <w:autoSpaceDN w:val="0"/>
              <w:bidi w:val="0"/>
              <w:snapToGrid/>
              <w:spacing w:line="410" w:lineRule="exact"/>
              <w:ind w:left="0" w:right="0"/>
              <w:textAlignment w:val="auto"/>
              <w:rPr>
                <w:rFonts w:hint="eastAsia" w:ascii="宋体" w:hAnsi="宋体" w:eastAsia="宋体" w:cs="宋体"/>
                <w:szCs w:val="21"/>
                <w:highlight w:val="none"/>
              </w:rPr>
            </w:pPr>
            <w:r>
              <w:rPr>
                <w:rFonts w:hint="eastAsia" w:ascii="宋体" w:hAnsi="宋体" w:eastAsia="宋体" w:cs="宋体"/>
                <w:szCs w:val="21"/>
                <w:highlight w:val="none"/>
              </w:rPr>
              <w:t>(三)其他项目费：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p>
          <w:p>
            <w:pPr>
              <w:keepNext w:val="0"/>
              <w:keepLines w:val="0"/>
              <w:pageBreakBefore w:val="0"/>
              <w:shd w:val="clear" w:fill="auto"/>
              <w:kinsoku/>
              <w:wordWrap/>
              <w:overflowPunct/>
              <w:topLinePunct w:val="0"/>
              <w:autoSpaceDE w:val="0"/>
              <w:autoSpaceDN w:val="0"/>
              <w:bidi w:val="0"/>
              <w:snapToGrid/>
              <w:spacing w:line="410" w:lineRule="exact"/>
              <w:ind w:left="0" w:right="0"/>
              <w:textAlignment w:val="auto"/>
              <w:rPr>
                <w:rFonts w:hint="eastAsia" w:ascii="宋体" w:hAnsi="宋体" w:eastAsia="宋体" w:cs="宋体"/>
                <w:szCs w:val="21"/>
                <w:highlight w:val="none"/>
              </w:rPr>
            </w:pPr>
            <w:r>
              <w:rPr>
                <w:rFonts w:hint="eastAsia" w:ascii="宋体" w:hAnsi="宋体" w:eastAsia="宋体" w:cs="宋体"/>
                <w:szCs w:val="21"/>
                <w:highlight w:val="none"/>
              </w:rPr>
              <w:t>（其中暂列金额：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元，专业工程暂估价：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p>
          <w:p>
            <w:pPr>
              <w:keepNext w:val="0"/>
              <w:keepLines w:val="0"/>
              <w:pageBreakBefore w:val="0"/>
              <w:shd w:val="clear" w:fill="auto"/>
              <w:kinsoku/>
              <w:wordWrap/>
              <w:overflowPunct/>
              <w:topLinePunct w:val="0"/>
              <w:autoSpaceDE w:val="0"/>
              <w:autoSpaceDN w:val="0"/>
              <w:bidi w:val="0"/>
              <w:snapToGrid/>
              <w:spacing w:line="410" w:lineRule="exact"/>
              <w:ind w:left="0" w:right="0"/>
              <w:textAlignment w:val="auto"/>
              <w:rPr>
                <w:rFonts w:hint="eastAsia" w:ascii="宋体" w:hAnsi="宋体" w:eastAsia="宋体" w:cs="宋体"/>
                <w:szCs w:val="21"/>
                <w:highlight w:val="none"/>
              </w:rPr>
            </w:pPr>
            <w:r>
              <w:rPr>
                <w:rFonts w:hint="eastAsia" w:ascii="宋体" w:hAnsi="宋体" w:eastAsia="宋体" w:cs="宋体"/>
                <w:szCs w:val="21"/>
                <w:highlight w:val="none"/>
              </w:rPr>
              <w:t>(四)规费：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p>
          <w:p>
            <w:pPr>
              <w:keepNext w:val="0"/>
              <w:keepLines w:val="0"/>
              <w:pageBreakBefore w:val="0"/>
              <w:shd w:val="clear" w:fill="auto"/>
              <w:kinsoku/>
              <w:wordWrap/>
              <w:overflowPunct/>
              <w:topLinePunct w:val="0"/>
              <w:autoSpaceDE w:val="0"/>
              <w:autoSpaceDN w:val="0"/>
              <w:bidi w:val="0"/>
              <w:snapToGrid/>
              <w:spacing w:line="410" w:lineRule="exact"/>
              <w:ind w:left="0" w:right="0"/>
              <w:textAlignment w:val="auto"/>
              <w:rPr>
                <w:rFonts w:hint="eastAsia" w:ascii="宋体" w:hAnsi="宋体" w:eastAsia="宋体" w:cs="宋体"/>
                <w:szCs w:val="21"/>
                <w:highlight w:val="none"/>
              </w:rPr>
            </w:pPr>
            <w:r>
              <w:rPr>
                <w:rFonts w:hint="eastAsia" w:ascii="宋体" w:hAnsi="宋体" w:eastAsia="宋体" w:cs="宋体"/>
                <w:szCs w:val="21"/>
                <w:highlight w:val="none"/>
              </w:rPr>
              <w:t>(五)税金：</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p>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strike w:val="0"/>
                <w:dstrike w:val="0"/>
                <w:color w:val="0000FF"/>
                <w:kern w:val="2"/>
                <w:sz w:val="21"/>
                <w:szCs w:val="21"/>
                <w:highlight w:val="none"/>
                <w:lang w:val="en-US" w:eastAsia="zh-CN" w:bidi="ar-SA"/>
              </w:rPr>
            </w:pPr>
            <w:r>
              <w:rPr>
                <w:rFonts w:hint="eastAsia" w:ascii="宋体" w:hAnsi="宋体" w:eastAsia="宋体" w:cs="宋体"/>
                <w:szCs w:val="21"/>
                <w:highlight w:val="none"/>
              </w:rPr>
              <w:t>各投标人的投标总报价不得超过最高投标限价，投标人投标总报价高于最高投标限价的投标将被否决投标。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3.3.1</w:t>
            </w:r>
          </w:p>
        </w:tc>
        <w:tc>
          <w:tcPr>
            <w:tcW w:w="1798" w:type="dxa"/>
            <w:gridSpan w:val="2"/>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投标有效期</w:t>
            </w:r>
          </w:p>
        </w:tc>
        <w:tc>
          <w:tcPr>
            <w:tcW w:w="6767" w:type="dxa"/>
            <w:vAlign w:val="top"/>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90日历天（投标截止之日起）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3.4.1</w:t>
            </w:r>
          </w:p>
        </w:tc>
        <w:tc>
          <w:tcPr>
            <w:tcW w:w="1798" w:type="dxa"/>
            <w:gridSpan w:val="2"/>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投标保证金</w:t>
            </w:r>
          </w:p>
        </w:tc>
        <w:tc>
          <w:tcPr>
            <w:tcW w:w="6767" w:type="dxa"/>
            <w:vAlign w:val="top"/>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textAlignment w:val="auto"/>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投标保证金的金额：</w:t>
            </w:r>
            <w:r>
              <w:rPr>
                <w:rFonts w:hint="eastAsia" w:ascii="宋体" w:hAnsi="宋体" w:cs="宋体"/>
                <w:b w:val="0"/>
                <w:bCs/>
                <w:color w:val="000000"/>
                <w:kern w:val="0"/>
                <w:sz w:val="21"/>
                <w:szCs w:val="21"/>
                <w:highlight w:val="none"/>
                <w:lang w:eastAsia="zh-CN"/>
              </w:rPr>
              <w:t>伍拾</w:t>
            </w:r>
            <w:r>
              <w:rPr>
                <w:rFonts w:hint="eastAsia" w:ascii="宋体" w:hAnsi="宋体" w:eastAsia="宋体" w:cs="宋体"/>
                <w:b w:val="0"/>
                <w:bCs/>
                <w:color w:val="000000"/>
                <w:kern w:val="0"/>
                <w:sz w:val="21"/>
                <w:szCs w:val="21"/>
                <w:highlight w:val="none"/>
              </w:rPr>
              <w:t>万元整（￥：</w:t>
            </w:r>
            <w:r>
              <w:rPr>
                <w:rFonts w:hint="eastAsia" w:ascii="宋体" w:hAnsi="宋体" w:cs="宋体"/>
                <w:b w:val="0"/>
                <w:bCs/>
                <w:color w:val="000000"/>
                <w:kern w:val="0"/>
                <w:sz w:val="21"/>
                <w:szCs w:val="21"/>
                <w:highlight w:val="none"/>
                <w:lang w:val="en-US" w:eastAsia="zh-CN"/>
              </w:rPr>
              <w:t>500000.00</w:t>
            </w:r>
            <w:r>
              <w:rPr>
                <w:rFonts w:hint="eastAsia" w:ascii="宋体" w:hAnsi="宋体" w:eastAsia="宋体" w:cs="宋体"/>
                <w:b w:val="0"/>
                <w:bCs/>
                <w:color w:val="000000"/>
                <w:kern w:val="0"/>
                <w:sz w:val="21"/>
                <w:szCs w:val="21"/>
                <w:highlight w:val="none"/>
              </w:rPr>
              <w:t>元）</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textAlignment w:val="auto"/>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递交截止时间：投标截止时间前到账。</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textAlignment w:val="auto"/>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递交方式1：从投标人基本账户转至下列账户</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textAlignment w:val="auto"/>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户名：郑州航空港经济综合实验区(郑州新郑综合保税区)公共资源交易中心；</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textAlignment w:val="auto"/>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开户行：</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textAlignment w:val="auto"/>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子账号：</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textAlignment w:val="auto"/>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方式 2：电子保函，投标人通过郑州航空港经济综合实验区（郑州新郑综合保税区）公共资源交易中心交易系统进行电子保函申请，具体详见http://www.zzhkgggzy.cn/zzhkgsyqjyzx/InfoDetail/?InfoID=dd792dbd-0866-44bd-827b-7b8378fc1547&amp;CategoryNum=019“《关于郑州航空港经济综合实验区（郑州新郑综合保税区）公共资源交易中心金融服务功能上线运行的通知》”、“《申请电子保函操作手册》”。投标人将电子保函相关资料附在投标文件中，电子保函以电子开、评标系统查询为准。</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textAlignment w:val="auto"/>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注：（1）投标人在规定的投标保证金递交截止时间前缴纳保证金，转账交纳方式支持柜台转账、网银转账、电汇等形式（请勿使用结算卡进行转账）；</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textAlignment w:val="auto"/>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（2）请投标人严格按所投项目标段招标文件中提供的账号交纳保证金，详细核对，确保相关信息无误；缴纳时应做到“一项目一标段一缴纳”，不能单笔缴纳两个及以上项目（或标段）的保证金。</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textAlignment w:val="auto"/>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（3）投标人缴纳投标保证金时，务必在用途栏中注明项目编号及所投标段，未在用途栏注明项目编号或注明错误的，会导致该项目投标保证金无法确认，由此产生的后果由投标人自负。本条不作为无效标条款。</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textAlignment w:val="auto"/>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（4）投标保证金以到达保证金账户的时间为准，请投标人合理安排保证金缴纳时间（各银行节假日期间停止对公转账，部分银行对公转账周期较长）。</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textAlignment w:val="auto"/>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（5）若因收款人名称过长转账失败，可将收款人名称中“括号”使用半角输入。</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textAlignment w:val="auto"/>
              <w:rPr>
                <w:rFonts w:hint="eastAsia" w:ascii="宋体" w:hAnsi="宋体" w:eastAsia="宋体" w:cs="宋体"/>
                <w:b/>
                <w:color w:val="000000"/>
                <w:kern w:val="0"/>
                <w:sz w:val="21"/>
                <w:szCs w:val="21"/>
                <w:highlight w:val="none"/>
              </w:rPr>
            </w:pPr>
            <w:r>
              <w:rPr>
                <w:rFonts w:hint="eastAsia" w:ascii="宋体" w:hAnsi="宋体" w:eastAsia="宋体" w:cs="宋体"/>
                <w:b w:val="0"/>
                <w:bCs/>
                <w:color w:val="000000"/>
                <w:kern w:val="0"/>
                <w:sz w:val="21"/>
                <w:szCs w:val="21"/>
                <w:highlight w:val="none"/>
              </w:rPr>
              <w:t>（6）交易中心对缴入的保证金不再开具统一的收款收据；加盖单位公章的开户许可证（基本存款账户信息）、缴款凭证复印件应装订在投标文件内，开标当天以交易中心开评标系统查询的结果为准。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3.5</w:t>
            </w:r>
          </w:p>
        </w:tc>
        <w:tc>
          <w:tcPr>
            <w:tcW w:w="1798" w:type="dxa"/>
            <w:gridSpan w:val="2"/>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资格审查资料的特殊要求</w:t>
            </w:r>
          </w:p>
        </w:tc>
        <w:tc>
          <w:tcPr>
            <w:tcW w:w="6767"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exact"/>
          <w:jc w:val="center"/>
        </w:trPr>
        <w:tc>
          <w:tcPr>
            <w:tcW w:w="1050"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3.5.2</w:t>
            </w:r>
          </w:p>
        </w:tc>
        <w:tc>
          <w:tcPr>
            <w:tcW w:w="1798" w:type="dxa"/>
            <w:gridSpan w:val="2"/>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近年财务状况的年份要求</w:t>
            </w:r>
          </w:p>
        </w:tc>
        <w:tc>
          <w:tcPr>
            <w:tcW w:w="6767"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近三年（指20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年度）</w:t>
            </w:r>
            <w:r>
              <w:rPr>
                <w:rFonts w:hint="eastAsia" w:ascii="宋体" w:hAnsi="宋体"/>
                <w:color w:val="000000"/>
                <w:sz w:val="21"/>
                <w:szCs w:val="21"/>
                <w:highlight w:val="none"/>
                <w:lang w:val="en-US" w:eastAsia="zh-CN"/>
              </w:rPr>
              <w:t>（若企业成立年份不足三年的，则以企业成立年份向后推算，提供相应年份的经审计合格的财务审计报告或财务报表）；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3.5.3</w:t>
            </w:r>
          </w:p>
        </w:tc>
        <w:tc>
          <w:tcPr>
            <w:tcW w:w="1798" w:type="dxa"/>
            <w:gridSpan w:val="2"/>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近年完成的类似项目的年份要求</w:t>
            </w:r>
          </w:p>
        </w:tc>
        <w:tc>
          <w:tcPr>
            <w:tcW w:w="6767"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val="en-US" w:eastAsia="zh-CN"/>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exact"/>
          <w:jc w:val="center"/>
        </w:trPr>
        <w:tc>
          <w:tcPr>
            <w:tcW w:w="1050"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3.5.5</w:t>
            </w:r>
          </w:p>
        </w:tc>
        <w:tc>
          <w:tcPr>
            <w:tcW w:w="1798" w:type="dxa"/>
            <w:gridSpan w:val="2"/>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近年发生的诉讼及仲裁情况的时间要求</w:t>
            </w:r>
          </w:p>
        </w:tc>
        <w:tc>
          <w:tcPr>
            <w:tcW w:w="6767"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highlight w:val="none"/>
              </w:rPr>
            </w:pP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3.6.1</w:t>
            </w:r>
          </w:p>
        </w:tc>
        <w:tc>
          <w:tcPr>
            <w:tcW w:w="1798" w:type="dxa"/>
            <w:gridSpan w:val="2"/>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是否允许递交备选投标方案</w:t>
            </w:r>
          </w:p>
        </w:tc>
        <w:tc>
          <w:tcPr>
            <w:tcW w:w="6767"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shd w:val="clear" w:fill="auto"/>
              <w:kinsoku/>
              <w:wordWrap/>
              <w:overflowPunct/>
              <w:topLinePunct w:val="0"/>
              <w:bidi w:val="0"/>
              <w:snapToGrid/>
              <w:spacing w:line="410" w:lineRule="exact"/>
              <w:ind w:left="0" w:right="0"/>
              <w:contextualSpacing/>
              <w:jc w:val="center"/>
              <w:textAlignment w:val="auto"/>
              <w:rPr>
                <w:rFonts w:hint="eastAsia" w:ascii="宋体" w:hAnsi="宋体" w:eastAsia="宋体" w:cs="宋体"/>
                <w:color w:val="000000"/>
                <w:kern w:val="0"/>
                <w:sz w:val="21"/>
                <w:szCs w:val="21"/>
                <w:highlight w:val="none"/>
              </w:rPr>
            </w:pPr>
            <w:r>
              <w:rPr>
                <w:rFonts w:hint="eastAsia" w:ascii="宋体" w:hAnsi="宋体" w:cs="宋体"/>
                <w:szCs w:val="21"/>
                <w:highlight w:val="none"/>
              </w:rPr>
              <w:t>3.7.3</w:t>
            </w:r>
          </w:p>
        </w:tc>
        <w:tc>
          <w:tcPr>
            <w:tcW w:w="1798" w:type="dxa"/>
            <w:gridSpan w:val="2"/>
            <w:vAlign w:val="center"/>
          </w:tcPr>
          <w:p>
            <w:pPr>
              <w:keepNext w:val="0"/>
              <w:keepLines w:val="0"/>
              <w:pageBreakBefore w:val="0"/>
              <w:shd w:val="clear" w:fill="auto"/>
              <w:kinsoku/>
              <w:wordWrap/>
              <w:overflowPunct/>
              <w:topLinePunct w:val="0"/>
              <w:bidi w:val="0"/>
              <w:snapToGrid/>
              <w:spacing w:line="410" w:lineRule="exact"/>
              <w:ind w:left="0" w:right="0"/>
              <w:contextualSpacing/>
              <w:jc w:val="center"/>
              <w:textAlignment w:val="auto"/>
              <w:rPr>
                <w:rFonts w:hint="eastAsia" w:ascii="宋体" w:hAnsi="宋体" w:eastAsia="宋体" w:cs="宋体"/>
                <w:color w:val="000000"/>
                <w:kern w:val="0"/>
                <w:sz w:val="21"/>
                <w:szCs w:val="21"/>
                <w:highlight w:val="none"/>
              </w:rPr>
            </w:pPr>
            <w:r>
              <w:rPr>
                <w:rFonts w:hint="eastAsia" w:ascii="宋体" w:hAnsi="宋体" w:cs="宋体"/>
                <w:szCs w:val="21"/>
                <w:highlight w:val="none"/>
              </w:rPr>
              <w:t>签字或盖章要求</w:t>
            </w:r>
          </w:p>
        </w:tc>
        <w:tc>
          <w:tcPr>
            <w:tcW w:w="6767" w:type="dxa"/>
            <w:vAlign w:val="center"/>
          </w:tcPr>
          <w:p>
            <w:pPr>
              <w:keepNext w:val="0"/>
              <w:keepLines w:val="0"/>
              <w:pageBreakBefore w:val="0"/>
              <w:shd w:val="clear" w:fill="auto"/>
              <w:kinsoku/>
              <w:wordWrap/>
              <w:overflowPunct/>
              <w:topLinePunct w:val="0"/>
              <w:bidi w:val="0"/>
              <w:snapToGrid/>
              <w:spacing w:line="410" w:lineRule="exact"/>
              <w:ind w:left="0" w:right="0" w:hanging="105" w:hangingChars="50"/>
              <w:contextualSpacing/>
              <w:jc w:val="left"/>
              <w:textAlignment w:val="auto"/>
              <w:rPr>
                <w:rFonts w:ascii="宋体" w:hAnsi="宋体" w:cs="宋体"/>
                <w:szCs w:val="21"/>
                <w:highlight w:val="none"/>
              </w:rPr>
            </w:pPr>
            <w:r>
              <w:rPr>
                <w:rFonts w:hint="eastAsia" w:ascii="宋体" w:hAnsi="宋体" w:cs="宋体"/>
                <w:szCs w:val="21"/>
                <w:highlight w:val="none"/>
              </w:rPr>
              <w:t>（1）投标函及投标函附录由投标人的法定代表人或其委托代理人签字（或盖章）并盖单位公章。</w:t>
            </w:r>
          </w:p>
          <w:p>
            <w:pPr>
              <w:keepNext w:val="0"/>
              <w:keepLines w:val="0"/>
              <w:pageBreakBefore w:val="0"/>
              <w:widowControl/>
              <w:shd w:val="clear" w:fill="auto"/>
              <w:kinsoku/>
              <w:wordWrap/>
              <w:overflowPunct/>
              <w:topLinePunct w:val="0"/>
              <w:bidi w:val="0"/>
              <w:snapToGrid/>
              <w:spacing w:line="410" w:lineRule="exact"/>
              <w:ind w:left="0" w:right="0"/>
              <w:contextualSpacing/>
              <w:textAlignment w:val="auto"/>
              <w:rPr>
                <w:rFonts w:ascii="宋体" w:hAnsi="宋体" w:cs="宋体"/>
                <w:szCs w:val="21"/>
                <w:highlight w:val="none"/>
              </w:rPr>
            </w:pPr>
            <w:r>
              <w:rPr>
                <w:rFonts w:hint="eastAsia" w:ascii="宋体" w:hAnsi="宋体" w:cs="宋体"/>
                <w:bCs/>
                <w:szCs w:val="21"/>
                <w:highlight w:val="none"/>
              </w:rPr>
              <w:t>（</w:t>
            </w:r>
            <w:r>
              <w:rPr>
                <w:rFonts w:ascii="宋体" w:hAnsi="宋体" w:cs="宋体"/>
                <w:bCs/>
                <w:szCs w:val="21"/>
                <w:highlight w:val="none"/>
              </w:rPr>
              <w:t>2</w:t>
            </w:r>
            <w:r>
              <w:rPr>
                <w:rFonts w:hint="eastAsia" w:ascii="宋体" w:hAnsi="宋体" w:cs="宋体"/>
                <w:bCs/>
                <w:szCs w:val="21"/>
                <w:highlight w:val="none"/>
              </w:rPr>
              <w:t>）</w:t>
            </w:r>
            <w:r>
              <w:rPr>
                <w:rFonts w:hint="eastAsia" w:ascii="宋体" w:hAnsi="宋体" w:cs="宋体"/>
                <w:szCs w:val="21"/>
                <w:highlight w:val="none"/>
              </w:rPr>
              <w:t>电子版投标文件中的企业电子签章与企业加盖公章具有同等效力。电子版投标文件中的个人电子签章与个人签字（或盖章）具有同等效力。</w:t>
            </w:r>
          </w:p>
          <w:p>
            <w:pPr>
              <w:keepNext w:val="0"/>
              <w:keepLines w:val="0"/>
              <w:pageBreakBefore w:val="0"/>
              <w:widowControl/>
              <w:shd w:val="clear" w:fill="auto"/>
              <w:kinsoku/>
              <w:wordWrap/>
              <w:overflowPunct/>
              <w:topLinePunct w:val="0"/>
              <w:bidi w:val="0"/>
              <w:snapToGrid/>
              <w:spacing w:line="410" w:lineRule="exact"/>
              <w:ind w:left="0" w:right="0"/>
              <w:contextualSpacing/>
              <w:textAlignment w:val="auto"/>
              <w:rPr>
                <w:rFonts w:ascii="宋体" w:hAnsi="宋体" w:cs="宋体"/>
                <w:bCs/>
                <w:szCs w:val="21"/>
                <w:highlight w:val="none"/>
              </w:rPr>
            </w:pPr>
            <w:r>
              <w:rPr>
                <w:rFonts w:hint="eastAsia" w:ascii="宋体" w:hAnsi="宋体" w:cs="宋体"/>
                <w:bCs/>
                <w:szCs w:val="21"/>
                <w:highlight w:val="none"/>
              </w:rPr>
              <w:t>（</w:t>
            </w:r>
            <w:r>
              <w:rPr>
                <w:rFonts w:ascii="宋体" w:hAnsi="宋体" w:cs="宋体"/>
                <w:bCs/>
                <w:szCs w:val="21"/>
                <w:highlight w:val="none"/>
              </w:rPr>
              <w:t>3</w:t>
            </w:r>
            <w:r>
              <w:rPr>
                <w:rFonts w:hint="eastAsia" w:ascii="宋体" w:hAnsi="宋体" w:cs="宋体"/>
                <w:bCs/>
                <w:szCs w:val="21"/>
                <w:highlight w:val="none"/>
              </w:rPr>
              <w:t>）若法定代表人或委托代理人没有CA锁，则投标文件需上传有手写签名的扫描件。</w:t>
            </w:r>
          </w:p>
          <w:p>
            <w:pPr>
              <w:keepNext w:val="0"/>
              <w:keepLines w:val="0"/>
              <w:pageBreakBefore w:val="0"/>
              <w:widowControl/>
              <w:shd w:val="clear" w:fill="auto"/>
              <w:kinsoku/>
              <w:wordWrap/>
              <w:overflowPunct/>
              <w:topLinePunct w:val="0"/>
              <w:bidi w:val="0"/>
              <w:snapToGrid/>
              <w:spacing w:line="410" w:lineRule="exact"/>
              <w:ind w:left="0" w:right="0"/>
              <w:contextualSpacing/>
              <w:textAlignment w:val="auto"/>
              <w:rPr>
                <w:rFonts w:hint="eastAsia" w:ascii="宋体" w:hAnsi="宋体" w:eastAsia="宋体" w:cs="宋体"/>
                <w:color w:val="000000"/>
                <w:kern w:val="0"/>
                <w:sz w:val="21"/>
                <w:szCs w:val="21"/>
                <w:highlight w:val="none"/>
              </w:rPr>
            </w:pPr>
            <w:r>
              <w:rPr>
                <w:rFonts w:hint="eastAsia" w:ascii="宋体" w:hAnsi="宋体" w:cs="宋体"/>
                <w:bCs/>
                <w:szCs w:val="21"/>
                <w:highlight w:val="none"/>
              </w:rPr>
              <w:t>（4）投标文件中要求签字或盖章处需由</w:t>
            </w:r>
            <w:r>
              <w:rPr>
                <w:rFonts w:hint="eastAsia" w:ascii="宋体" w:hAnsi="宋体" w:cs="宋体"/>
                <w:bCs/>
                <w:szCs w:val="21"/>
                <w:highlight w:val="none"/>
                <w:lang w:val="en-US" w:eastAsia="zh-CN"/>
              </w:rPr>
              <w:t>投标人</w:t>
            </w:r>
            <w:r>
              <w:rPr>
                <w:rFonts w:hint="eastAsia" w:ascii="宋体" w:hAnsi="宋体" w:cs="宋体"/>
                <w:bCs/>
                <w:szCs w:val="21"/>
                <w:highlight w:val="none"/>
              </w:rPr>
              <w:t>的法定代表人签字或盖章或授权委托书中的委托代理人签字或盖章。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4.2.1</w:t>
            </w:r>
          </w:p>
        </w:tc>
        <w:tc>
          <w:tcPr>
            <w:tcW w:w="1798" w:type="dxa"/>
            <w:gridSpan w:val="2"/>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投标截止时间</w:t>
            </w:r>
          </w:p>
        </w:tc>
        <w:tc>
          <w:tcPr>
            <w:tcW w:w="6767"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4.2.2</w:t>
            </w:r>
          </w:p>
        </w:tc>
        <w:tc>
          <w:tcPr>
            <w:tcW w:w="1798" w:type="dxa"/>
            <w:gridSpan w:val="2"/>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递交投标文件地点</w:t>
            </w:r>
          </w:p>
        </w:tc>
        <w:tc>
          <w:tcPr>
            <w:tcW w:w="6767" w:type="dxa"/>
            <w:vAlign w:val="top"/>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auto"/>
                <w:sz w:val="21"/>
                <w:szCs w:val="21"/>
                <w:highlight w:val="none"/>
              </w:rPr>
              <w:t>郑州航空港经济综合实验区（郑州新郑综合保税区）公共资源交易中心（www.zzhkgggzy.cn）电子</w:t>
            </w:r>
            <w:r>
              <w:rPr>
                <w:rFonts w:hint="eastAsia" w:ascii="宋体" w:hAnsi="宋体" w:eastAsia="宋体" w:cs="宋体"/>
                <w:color w:val="auto"/>
                <w:sz w:val="21"/>
                <w:szCs w:val="21"/>
                <w:highlight w:val="none"/>
                <w:lang w:val="en-US" w:eastAsia="zh-CN"/>
              </w:rPr>
              <w:t>招投标</w:t>
            </w:r>
            <w:r>
              <w:rPr>
                <w:rFonts w:hint="eastAsia" w:ascii="宋体" w:hAnsi="宋体" w:eastAsia="宋体" w:cs="宋体"/>
                <w:color w:val="auto"/>
                <w:sz w:val="21"/>
                <w:szCs w:val="21"/>
                <w:highlight w:val="none"/>
              </w:rPr>
              <w:t>系统</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4.2.3</w:t>
            </w:r>
          </w:p>
        </w:tc>
        <w:tc>
          <w:tcPr>
            <w:tcW w:w="1798" w:type="dxa"/>
            <w:gridSpan w:val="2"/>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是否退还投标文件</w:t>
            </w:r>
          </w:p>
        </w:tc>
        <w:tc>
          <w:tcPr>
            <w:tcW w:w="6767"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both"/>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5.1</w:t>
            </w:r>
          </w:p>
        </w:tc>
        <w:tc>
          <w:tcPr>
            <w:tcW w:w="1798" w:type="dxa"/>
            <w:gridSpan w:val="2"/>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开标时间和地点</w:t>
            </w:r>
          </w:p>
        </w:tc>
        <w:tc>
          <w:tcPr>
            <w:tcW w:w="6767" w:type="dxa"/>
            <w:vAlign w:val="top"/>
          </w:tcPr>
          <w:p>
            <w:pPr>
              <w:keepNext w:val="0"/>
              <w:keepLines w:val="0"/>
              <w:pageBreakBefore w:val="0"/>
              <w:widowControl/>
              <w:shd w:val="clear" w:fill="auto"/>
              <w:kinsoku/>
              <w:wordWrap/>
              <w:overflowPunct/>
              <w:topLinePunct w:val="0"/>
              <w:autoSpaceDE w:val="0"/>
              <w:autoSpaceDN w:val="0"/>
              <w:bidi w:val="0"/>
              <w:snapToGrid/>
              <w:spacing w:line="410" w:lineRule="exact"/>
              <w:ind w:left="0" w:leftChars="0" w:right="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开标时间：</w:t>
            </w:r>
            <w:r>
              <w:rPr>
                <w:rFonts w:hint="eastAsia" w:ascii="宋体" w:hAnsi="宋体" w:eastAsia="宋体" w:cs="宋体"/>
                <w:color w:val="auto"/>
                <w:kern w:val="0"/>
                <w:sz w:val="21"/>
                <w:szCs w:val="21"/>
                <w:highlight w:val="none"/>
                <w:lang w:val="en-US" w:eastAsia="zh-CN"/>
              </w:rPr>
              <w:t>同投标截止时间</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auto"/>
                <w:kern w:val="0"/>
                <w:sz w:val="21"/>
                <w:szCs w:val="21"/>
                <w:highlight w:val="none"/>
              </w:rPr>
              <w:t>开标地点：郑州航空港经济综合实验区赠之路与新港大道交叉口向西约150米路北（公共资源交易中心）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5.2 </w:t>
            </w:r>
          </w:p>
        </w:tc>
        <w:tc>
          <w:tcPr>
            <w:tcW w:w="1798" w:type="dxa"/>
            <w:gridSpan w:val="2"/>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开标程序</w:t>
            </w:r>
          </w:p>
        </w:tc>
        <w:tc>
          <w:tcPr>
            <w:tcW w:w="6767" w:type="dxa"/>
            <w:vAlign w:val="top"/>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（1）公开投标人名单。</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（2）投标人对投标文件进行解密。</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注意事项：本项目投标文件解密时间为 30 分钟（自公布投标人后，进入下一阶段开始计算），投标人应在规定的解密时间内用加密生成投标文件的 CA 锁完成解密，未在规定的时间内完成解密的，其不利后果由投标人自行承担)。</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（3）招标人（代理机构）进行解密。</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（4）唱标（公布招标项目名称、投标人名称、投标报价、工期、质量等其他内容）。</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（5）投标人异议与答复（如有）。</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6.1.1 </w:t>
            </w:r>
          </w:p>
        </w:tc>
        <w:tc>
          <w:tcPr>
            <w:tcW w:w="1798" w:type="dxa"/>
            <w:gridSpan w:val="2"/>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评标委员会的组建</w:t>
            </w:r>
          </w:p>
        </w:tc>
        <w:tc>
          <w:tcPr>
            <w:tcW w:w="6767" w:type="dxa"/>
            <w:vAlign w:val="top"/>
          </w:tcPr>
          <w:p>
            <w:pPr>
              <w:keepNext w:val="0"/>
              <w:keepLines w:val="0"/>
              <w:pageBreakBefore w:val="0"/>
              <w:shd w:val="clear" w:fill="auto"/>
              <w:kinsoku/>
              <w:wordWrap/>
              <w:overflowPunct/>
              <w:topLinePunct w:val="0"/>
              <w:bidi w:val="0"/>
              <w:snapToGrid/>
              <w:spacing w:line="410" w:lineRule="exact"/>
              <w:ind w:left="0" w:right="0"/>
              <w:contextualSpacing/>
              <w:textAlignment w:val="auto"/>
              <w:rPr>
                <w:rFonts w:ascii="宋体" w:hAnsi="宋体" w:cs="宋体"/>
                <w:szCs w:val="21"/>
                <w:highlight w:val="none"/>
              </w:rPr>
            </w:pPr>
            <w:r>
              <w:rPr>
                <w:rFonts w:hint="eastAsia" w:ascii="宋体" w:hAnsi="宋体" w:cs="宋体"/>
                <w:szCs w:val="21"/>
                <w:highlight w:val="none"/>
              </w:rPr>
              <w:t>评标委员会构成：</w:t>
            </w:r>
            <w:r>
              <w:rPr>
                <w:rFonts w:hint="eastAsia" w:ascii="宋体" w:hAnsi="宋体" w:cs="宋体"/>
                <w:szCs w:val="21"/>
                <w:highlight w:val="none"/>
                <w:lang w:val="en-US" w:eastAsia="zh-CN"/>
              </w:rPr>
              <w:t>5</w:t>
            </w:r>
            <w:r>
              <w:rPr>
                <w:rFonts w:hint="eastAsia" w:ascii="宋体" w:hAnsi="宋体" w:cs="宋体"/>
                <w:szCs w:val="21"/>
                <w:highlight w:val="none"/>
              </w:rPr>
              <w:t>人，其中招标人代表</w:t>
            </w:r>
            <w:r>
              <w:rPr>
                <w:rFonts w:hint="eastAsia" w:ascii="宋体" w:hAnsi="宋体" w:cs="宋体"/>
                <w:szCs w:val="21"/>
                <w:highlight w:val="none"/>
                <w:lang w:val="en-US" w:eastAsia="zh-CN"/>
              </w:rPr>
              <w:t>1</w:t>
            </w:r>
            <w:r>
              <w:rPr>
                <w:rFonts w:hint="eastAsia" w:ascii="宋体" w:hAnsi="宋体" w:cs="宋体"/>
                <w:szCs w:val="21"/>
                <w:highlight w:val="none"/>
              </w:rPr>
              <w:t>人，有关技术、经济等方面的专家</w:t>
            </w:r>
            <w:r>
              <w:rPr>
                <w:rFonts w:hint="eastAsia" w:ascii="宋体" w:hAnsi="宋体" w:cs="宋体"/>
                <w:szCs w:val="21"/>
                <w:highlight w:val="none"/>
                <w:lang w:val="en-US" w:eastAsia="zh-CN"/>
              </w:rPr>
              <w:t>4</w:t>
            </w:r>
            <w:r>
              <w:rPr>
                <w:rFonts w:hint="eastAsia" w:ascii="宋体" w:hAnsi="宋体" w:cs="宋体"/>
                <w:szCs w:val="21"/>
                <w:highlight w:val="none"/>
              </w:rPr>
              <w:t>人。</w:t>
            </w:r>
          </w:p>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left"/>
              <w:textAlignment w:val="auto"/>
              <w:rPr>
                <w:rFonts w:hint="eastAsia" w:ascii="宋体" w:hAnsi="宋体" w:eastAsia="宋体" w:cs="宋体"/>
                <w:color w:val="000000"/>
                <w:kern w:val="0"/>
                <w:sz w:val="21"/>
                <w:szCs w:val="21"/>
                <w:highlight w:val="none"/>
              </w:rPr>
            </w:pPr>
            <w:r>
              <w:rPr>
                <w:rFonts w:hint="eastAsia" w:ascii="宋体" w:hAnsi="宋体" w:cs="宋体"/>
                <w:szCs w:val="21"/>
                <w:highlight w:val="none"/>
              </w:rPr>
              <w:t>评标专家确定方式：技术、经济等方面的专家从河南省综合评标专家库中随机抽取。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p>
        </w:tc>
        <w:tc>
          <w:tcPr>
            <w:tcW w:w="1798" w:type="dxa"/>
            <w:gridSpan w:val="2"/>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评标委员会推荐中标候选人的人数</w:t>
            </w:r>
          </w:p>
        </w:tc>
        <w:tc>
          <w:tcPr>
            <w:tcW w:w="6767" w:type="dxa"/>
            <w:vAlign w:val="center"/>
          </w:tcPr>
          <w:p>
            <w:pPr>
              <w:keepNext w:val="0"/>
              <w:keepLines w:val="0"/>
              <w:pageBreakBefore w:val="0"/>
              <w:widowControl/>
              <w:shd w:val="clear" w:fill="auto"/>
              <w:kinsoku/>
              <w:wordWrap/>
              <w:overflowPunct/>
              <w:topLinePunct w:val="0"/>
              <w:bidi w:val="0"/>
              <w:snapToGrid/>
              <w:spacing w:line="410" w:lineRule="exact"/>
              <w:ind w:left="0" w:right="0"/>
              <w:contextualSpacing/>
              <w:textAlignment w:val="auto"/>
              <w:rPr>
                <w:rFonts w:ascii="宋体" w:hAnsi="宋体" w:cs="宋体"/>
                <w:szCs w:val="21"/>
                <w:highlight w:val="none"/>
              </w:rPr>
            </w:pPr>
            <w:r>
              <w:rPr>
                <w:rFonts w:hint="eastAsia" w:ascii="宋体" w:hAnsi="宋体" w:cs="宋体"/>
                <w:szCs w:val="21"/>
                <w:highlight w:val="none"/>
              </w:rPr>
              <w:t>根据《河南省住房和城乡建设厅关于同意郑州航空港经济综合实验区开展房屋建筑和市政基础设施工程招标投标领域改革试点的批复》中附件《郑州航空港经济综合实验区房屋建筑和市政基础设施工程招标投标领域改革试点实施方案》以及《郑州航空港经济综合实验区党政办公室关于印发郑州航空港经济综合实验区房屋建筑和市政基础设施工程招标投标“评定分离”实施意见</w:t>
            </w:r>
            <w:r>
              <w:rPr>
                <w:rFonts w:ascii="宋体" w:hAnsi="宋体" w:cs="宋体"/>
                <w:szCs w:val="21"/>
                <w:highlight w:val="none"/>
              </w:rPr>
              <w:t xml:space="preserve"> (试行)和政府采购评标定标分离管理办法(试行)的通知》（郑港办[2023]81号文</w:t>
            </w:r>
            <w:r>
              <w:rPr>
                <w:rFonts w:hint="eastAsia" w:ascii="宋体" w:hAnsi="宋体" w:cs="宋体"/>
                <w:szCs w:val="21"/>
                <w:highlight w:val="none"/>
              </w:rPr>
              <w:t>）、《郑州航空港经济综合实验区综合行政执法局（城市管理局）关于印发招标投标“评定分离”制度（试行）的通知》（郑港综执[2023]</w:t>
            </w:r>
            <w:r>
              <w:rPr>
                <w:rFonts w:ascii="宋体" w:hAnsi="宋体" w:cs="宋体"/>
                <w:szCs w:val="21"/>
                <w:highlight w:val="none"/>
              </w:rPr>
              <w:t>60</w:t>
            </w:r>
            <w:r>
              <w:rPr>
                <w:rFonts w:hint="eastAsia" w:ascii="宋体" w:hAnsi="宋体" w:cs="宋体"/>
                <w:szCs w:val="21"/>
                <w:highlight w:val="none"/>
              </w:rPr>
              <w:t>号）（郑州航空港经济综合实验区综合行政执法局（城市管理局）牵头主导的市政基础设施工程、水利工程等项目，应当采用“评定分离”）（郑州航空港经济综合实验区综合行政执法局（城市管理局）牵头主导的市政基础设施工程、水利工程等项目，应当采用“评定分离”）</w:t>
            </w:r>
            <w:r>
              <w:rPr>
                <w:rFonts w:ascii="宋体" w:hAnsi="宋体" w:cs="宋体"/>
                <w:szCs w:val="21"/>
                <w:highlight w:val="none"/>
              </w:rPr>
              <w:t>，本项目采用评标定标分离方式，评标办法采用综合评估法，评标委员会按照招标文件要求</w:t>
            </w:r>
            <w:r>
              <w:rPr>
                <w:rFonts w:hint="eastAsia" w:ascii="宋体" w:hAnsi="宋体" w:cs="宋体"/>
                <w:szCs w:val="21"/>
                <w:highlight w:val="none"/>
              </w:rPr>
              <w:t>推荐</w:t>
            </w:r>
            <w:r>
              <w:rPr>
                <w:rFonts w:ascii="宋体" w:hAnsi="宋体" w:cs="宋体"/>
                <w:szCs w:val="21"/>
                <w:highlight w:val="none"/>
              </w:rPr>
              <w:t>不标明排序的2-5家中标候选人</w:t>
            </w:r>
            <w:r>
              <w:rPr>
                <w:rFonts w:hint="eastAsia" w:ascii="宋体" w:hAnsi="宋体" w:cs="宋体"/>
                <w:szCs w:val="21"/>
                <w:highlight w:val="none"/>
              </w:rPr>
              <w:t>，具体如下：</w:t>
            </w:r>
          </w:p>
          <w:p>
            <w:pPr>
              <w:keepNext w:val="0"/>
              <w:keepLines w:val="0"/>
              <w:pageBreakBefore w:val="0"/>
              <w:widowControl/>
              <w:shd w:val="clear" w:fill="auto"/>
              <w:kinsoku/>
              <w:wordWrap/>
              <w:overflowPunct/>
              <w:topLinePunct w:val="0"/>
              <w:bidi w:val="0"/>
              <w:snapToGrid/>
              <w:spacing w:line="410" w:lineRule="exact"/>
              <w:ind w:left="0" w:right="0"/>
              <w:contextualSpacing/>
              <w:textAlignment w:val="auto"/>
              <w:rPr>
                <w:rFonts w:ascii="宋体" w:hAnsi="宋体" w:cs="宋体"/>
                <w:szCs w:val="21"/>
                <w:highlight w:val="none"/>
              </w:rPr>
            </w:pPr>
            <w:r>
              <w:rPr>
                <w:rFonts w:hint="eastAsia" w:ascii="宋体" w:hAnsi="宋体" w:cs="宋体"/>
                <w:szCs w:val="21"/>
                <w:highlight w:val="none"/>
              </w:rPr>
              <w:t>当通过初步评审的单位≥5家时，推荐5名中标候选人且不标明排列顺序；</w:t>
            </w:r>
          </w:p>
          <w:p>
            <w:pPr>
              <w:keepNext w:val="0"/>
              <w:keepLines w:val="0"/>
              <w:pageBreakBefore w:val="0"/>
              <w:widowControl/>
              <w:shd w:val="clear" w:fill="auto"/>
              <w:kinsoku/>
              <w:wordWrap/>
              <w:overflowPunct/>
              <w:topLinePunct w:val="0"/>
              <w:bidi w:val="0"/>
              <w:snapToGrid/>
              <w:spacing w:line="410" w:lineRule="exact"/>
              <w:ind w:left="0" w:right="0"/>
              <w:contextualSpacing/>
              <w:textAlignment w:val="auto"/>
              <w:rPr>
                <w:rFonts w:ascii="宋体" w:hAnsi="宋体" w:cs="宋体"/>
                <w:szCs w:val="21"/>
                <w:highlight w:val="none"/>
              </w:rPr>
            </w:pPr>
            <w:r>
              <w:rPr>
                <w:rFonts w:hint="eastAsia" w:ascii="宋体" w:hAnsi="宋体" w:cs="宋体"/>
                <w:szCs w:val="21"/>
                <w:highlight w:val="none"/>
              </w:rPr>
              <w:t>当通过初步评审的单位≥3家且</w:t>
            </w:r>
            <w:r>
              <w:rPr>
                <w:rFonts w:ascii="宋体" w:hAnsi="宋体"/>
                <w:szCs w:val="21"/>
                <w:highlight w:val="none"/>
              </w:rPr>
              <w:t>＜</w:t>
            </w:r>
            <w:r>
              <w:rPr>
                <w:rFonts w:hint="eastAsia" w:ascii="宋体" w:hAnsi="宋体" w:cs="宋体"/>
                <w:szCs w:val="21"/>
                <w:highlight w:val="none"/>
              </w:rPr>
              <w:t>5家时，全部推为中标候选人且不标明排列顺序；</w:t>
            </w:r>
          </w:p>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highlight w:val="none"/>
              </w:rPr>
              <w:t>当通过初步评审的单位＜3家时，由评标委员会判断具有竞争性后推荐2名中标候选人且不标明排列顺序。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jc w:val="center"/>
        </w:trPr>
        <w:tc>
          <w:tcPr>
            <w:tcW w:w="1050" w:type="dxa"/>
            <w:vAlign w:val="center"/>
          </w:tcPr>
          <w:p>
            <w:pPr>
              <w:keepNext w:val="0"/>
              <w:keepLines w:val="0"/>
              <w:pageBreakBefore w:val="0"/>
              <w:shd w:val="clear" w:fill="auto"/>
              <w:kinsoku/>
              <w:wordWrap/>
              <w:overflowPunct/>
              <w:topLinePunct w:val="0"/>
              <w:autoSpaceDE w:val="0"/>
              <w:autoSpaceDN w:val="0"/>
              <w:bidi w:val="0"/>
              <w:adjustRightInd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7.1</w:t>
            </w:r>
          </w:p>
        </w:tc>
        <w:tc>
          <w:tcPr>
            <w:tcW w:w="1798" w:type="dxa"/>
            <w:gridSpan w:val="2"/>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定标方式</w:t>
            </w:r>
          </w:p>
        </w:tc>
        <w:tc>
          <w:tcPr>
            <w:tcW w:w="6767"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eastAsia" w:ascii="宋体" w:hAnsi="宋体" w:eastAsia="宋体" w:cs="宋体"/>
                <w:color w:val="000000"/>
                <w:kern w:val="0"/>
                <w:sz w:val="21"/>
                <w:szCs w:val="21"/>
                <w:highlight w:val="none"/>
              </w:rPr>
            </w:pPr>
            <w:r>
              <w:rPr>
                <w:rFonts w:hint="eastAsia" w:ascii="宋体" w:hAnsi="宋体" w:cs="宋体"/>
                <w:kern w:val="0"/>
                <w:sz w:val="21"/>
                <w:szCs w:val="21"/>
                <w:highlight w:val="none"/>
              </w:rPr>
              <w:t>本项目采用评定分离方式确定中标人，由招标人组建的定标委员会根据招标文件第四章“定标办法”确定中标人。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7.3.1</w:t>
            </w:r>
          </w:p>
        </w:tc>
        <w:tc>
          <w:tcPr>
            <w:tcW w:w="1798" w:type="dxa"/>
            <w:gridSpan w:val="2"/>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履约担保</w:t>
            </w:r>
          </w:p>
        </w:tc>
        <w:tc>
          <w:tcPr>
            <w:tcW w:w="6767"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履约保证金缴纳金额：中标价的5%。</w:t>
            </w:r>
          </w:p>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缴纳形式：可采用现金转账或国有商业银行、全国性股份制商业银行开具的无条件支付保函的形式进行履约担保。履约担保应在合同签订后7个工作日内提交给发包人。</w:t>
            </w:r>
          </w:p>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履约保证金的退还：履约担保在工程竣工验收合格且发包人扣除应</w:t>
            </w:r>
          </w:p>
          <w:p>
            <w:pPr>
              <w:keepNext w:val="0"/>
              <w:keepLines w:val="0"/>
              <w:pageBreakBefore w:val="0"/>
              <w:shd w:val="clear" w:fill="auto"/>
              <w:kinsoku/>
              <w:wordWrap/>
              <w:overflowPunct/>
              <w:topLinePunct w:val="0"/>
              <w:autoSpaceDE w:val="0"/>
              <w:autoSpaceDN w:val="0"/>
              <w:bidi w:val="0"/>
              <w:snapToGrid/>
              <w:spacing w:line="410" w:lineRule="exact"/>
              <w:ind w:left="0" w:leftChars="0" w:right="0"/>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扣罚的违约金后，退还剩余的履约担保。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8565" w:type="dxa"/>
            <w:gridSpan w:val="3"/>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10.1</w:t>
            </w:r>
          </w:p>
        </w:tc>
        <w:tc>
          <w:tcPr>
            <w:tcW w:w="1798" w:type="dxa"/>
            <w:gridSpan w:val="2"/>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投标文件的递交</w:t>
            </w:r>
          </w:p>
        </w:tc>
        <w:tc>
          <w:tcPr>
            <w:tcW w:w="6767" w:type="dxa"/>
            <w:vAlign w:val="center"/>
          </w:tcPr>
          <w:p>
            <w:pPr>
              <w:keepNext w:val="0"/>
              <w:keepLines w:val="0"/>
              <w:pageBreakBefore w:val="0"/>
              <w:widowControl/>
              <w:shd w:val="clear" w:fill="auto"/>
              <w:kinsoku/>
              <w:wordWrap/>
              <w:overflowPunct/>
              <w:topLinePunct w:val="0"/>
              <w:autoSpaceDE w:val="0"/>
              <w:autoSpaceDN w:val="0"/>
              <w:bidi w:val="0"/>
              <w:adjustRightInd/>
              <w:snapToGrid/>
              <w:spacing w:line="41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（1）加密的电子投标文件,应在投标文件截止时间前通过“郑州航空港经济综合实验区（郑州新郑综合保税区）公共资源交易中心（http://www.zzhkgggzy.cn）”电子交易平台内上传；</w:t>
            </w:r>
          </w:p>
          <w:p>
            <w:pPr>
              <w:keepNext w:val="0"/>
              <w:keepLines w:val="0"/>
              <w:pageBreakBefore w:val="0"/>
              <w:widowControl/>
              <w:shd w:val="clear" w:fill="auto"/>
              <w:kinsoku/>
              <w:wordWrap/>
              <w:overflowPunct/>
              <w:topLinePunct w:val="0"/>
              <w:autoSpaceDE w:val="0"/>
              <w:autoSpaceDN w:val="0"/>
              <w:bidi w:val="0"/>
              <w:adjustRightInd/>
              <w:snapToGrid/>
              <w:spacing w:line="41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（2）本项目为远程不见面开标，投标人无需到开标现场参与投标签到，无需递交任何纸质资料或证明，无需交纳原件。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10.2</w:t>
            </w:r>
          </w:p>
        </w:tc>
        <w:tc>
          <w:tcPr>
            <w:tcW w:w="1798" w:type="dxa"/>
            <w:gridSpan w:val="2"/>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技术咨询</w:t>
            </w:r>
          </w:p>
        </w:tc>
        <w:tc>
          <w:tcPr>
            <w:tcW w:w="6767" w:type="dxa"/>
            <w:vAlign w:val="center"/>
          </w:tcPr>
          <w:p>
            <w:pPr>
              <w:keepNext w:val="0"/>
              <w:keepLines w:val="0"/>
              <w:pageBreakBefore w:val="0"/>
              <w:widowControl/>
              <w:shd w:val="clear" w:fill="auto"/>
              <w:kinsoku/>
              <w:wordWrap/>
              <w:overflowPunct/>
              <w:topLinePunct w:val="0"/>
              <w:autoSpaceDE w:val="0"/>
              <w:autoSpaceDN w:val="0"/>
              <w:bidi w:val="0"/>
              <w:adjustRightInd/>
              <w:snapToGrid/>
              <w:spacing w:line="41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投标人使用电子招投标系统时，如有相关技术问题请咨询0371--61318573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10.3</w:t>
            </w:r>
          </w:p>
        </w:tc>
        <w:tc>
          <w:tcPr>
            <w:tcW w:w="1798" w:type="dxa"/>
            <w:gridSpan w:val="2"/>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确定中标人原则</w:t>
            </w:r>
          </w:p>
        </w:tc>
        <w:tc>
          <w:tcPr>
            <w:tcW w:w="6767" w:type="dxa"/>
            <w:vAlign w:val="center"/>
          </w:tcPr>
          <w:p>
            <w:pPr>
              <w:keepNext w:val="0"/>
              <w:keepLines w:val="0"/>
              <w:pageBreakBefore w:val="0"/>
              <w:widowControl/>
              <w:shd w:val="clear" w:fill="auto"/>
              <w:kinsoku/>
              <w:wordWrap/>
              <w:overflowPunct/>
              <w:topLinePunct w:val="0"/>
              <w:autoSpaceDE w:val="0"/>
              <w:autoSpaceDN w:val="0"/>
              <w:bidi w:val="0"/>
              <w:adjustRightInd/>
              <w:snapToGrid/>
              <w:spacing w:line="41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bidi="ar-SA"/>
              </w:rPr>
              <w:t>详见定标办法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9615" w:type="dxa"/>
            <w:gridSpan w:val="4"/>
            <w:vAlign w:val="center"/>
          </w:tcPr>
          <w:p>
            <w:pPr>
              <w:keepNext w:val="0"/>
              <w:keepLines w:val="0"/>
              <w:pageBreakBefore w:val="0"/>
              <w:widowControl/>
              <w:shd w:val="clear" w:fill="auto"/>
              <w:kinsoku/>
              <w:wordWrap/>
              <w:overflowPunct/>
              <w:topLinePunct w:val="0"/>
              <w:autoSpaceDE w:val="0"/>
              <w:autoSpaceDN w:val="0"/>
              <w:bidi w:val="0"/>
              <w:adjustRightInd/>
              <w:snapToGrid/>
              <w:spacing w:line="410" w:lineRule="exact"/>
              <w:ind w:left="0" w:right="0"/>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10.4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50" w:type="dxa"/>
            <w:vAlign w:val="center"/>
          </w:tcPr>
          <w:p>
            <w:pPr>
              <w:keepNext w:val="0"/>
              <w:keepLines w:val="0"/>
              <w:pageBreakBefore w:val="0"/>
              <w:shd w:val="clear" w:fill="auto"/>
              <w:kinsoku/>
              <w:wordWrap/>
              <w:overflowPunct/>
              <w:topLinePunct w:val="0"/>
              <w:autoSpaceDE w:val="0"/>
              <w:autoSpaceDN w:val="0"/>
              <w:bidi w:val="0"/>
              <w:snapToGrid/>
              <w:spacing w:line="410" w:lineRule="exact"/>
              <w:ind w:left="0" w:right="0"/>
              <w:jc w:val="left"/>
              <w:textAlignment w:val="auto"/>
              <w:rPr>
                <w:rFonts w:hint="eastAsia" w:ascii="宋体" w:hAnsi="宋体" w:eastAsia="宋体" w:cs="宋体"/>
                <w:color w:val="auto"/>
                <w:kern w:val="2"/>
                <w:sz w:val="21"/>
                <w:szCs w:val="21"/>
                <w:highlight w:val="none"/>
                <w:lang w:val="en-US" w:eastAsia="zh-CN" w:bidi="ar-SA"/>
              </w:rPr>
            </w:pPr>
          </w:p>
        </w:tc>
        <w:tc>
          <w:tcPr>
            <w:tcW w:w="8565" w:type="dxa"/>
            <w:gridSpan w:val="3"/>
            <w:vAlign w:val="center"/>
          </w:tcPr>
          <w:p>
            <w:pPr>
              <w:keepNext w:val="0"/>
              <w:keepLines w:val="0"/>
              <w:pageBreakBefore w:val="0"/>
              <w:widowControl/>
              <w:shd w:val="clear" w:fill="auto"/>
              <w:kinsoku/>
              <w:wordWrap/>
              <w:overflowPunct/>
              <w:topLinePunct w:val="0"/>
              <w:autoSpaceDE w:val="0"/>
              <w:autoSpaceDN w:val="0"/>
              <w:bidi w:val="0"/>
              <w:adjustRightInd/>
              <w:snapToGrid/>
              <w:spacing w:line="410" w:lineRule="exact"/>
              <w:ind w:left="0" w:right="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15" w:type="dxa"/>
            <w:gridSpan w:val="4"/>
            <w:vAlign w:val="center"/>
          </w:tcPr>
          <w:p>
            <w:pPr>
              <w:keepNext w:val="0"/>
              <w:keepLines w:val="0"/>
              <w:pageBreakBefore w:val="0"/>
              <w:widowControl/>
              <w:shd w:val="clear" w:fill="auto"/>
              <w:kinsoku/>
              <w:wordWrap/>
              <w:overflowPunct/>
              <w:topLinePunct w:val="0"/>
              <w:autoSpaceDE w:val="0"/>
              <w:autoSpaceDN w:val="0"/>
              <w:bidi w:val="0"/>
              <w:adjustRightInd/>
              <w:snapToGrid/>
              <w:spacing w:line="410" w:lineRule="exact"/>
              <w:ind w:left="0" w:right="0"/>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10.5重新招标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050" w:type="dxa"/>
            <w:vAlign w:val="center"/>
          </w:tcPr>
          <w:p>
            <w:pPr>
              <w:keepNext w:val="0"/>
              <w:keepLines w:val="0"/>
              <w:pageBreakBefore w:val="0"/>
              <w:widowControl/>
              <w:shd w:val="clear" w:fill="auto"/>
              <w:kinsoku/>
              <w:wordWrap/>
              <w:overflowPunct/>
              <w:topLinePunct w:val="0"/>
              <w:autoSpaceDE w:val="0"/>
              <w:autoSpaceDN w:val="0"/>
              <w:bidi w:val="0"/>
              <w:adjustRightInd/>
              <w:snapToGrid/>
              <w:spacing w:line="410" w:lineRule="exact"/>
              <w:ind w:left="0" w:right="0"/>
              <w:jc w:val="left"/>
              <w:textAlignment w:val="auto"/>
              <w:rPr>
                <w:rFonts w:hint="eastAsia" w:ascii="宋体" w:hAnsi="宋体" w:eastAsia="宋体" w:cs="宋体"/>
                <w:color w:val="auto"/>
                <w:kern w:val="2"/>
                <w:sz w:val="21"/>
                <w:szCs w:val="21"/>
                <w:highlight w:val="none"/>
                <w:lang w:val="en-US" w:eastAsia="zh-CN" w:bidi="ar-SA"/>
              </w:rPr>
            </w:pPr>
          </w:p>
        </w:tc>
        <w:tc>
          <w:tcPr>
            <w:tcW w:w="8565" w:type="dxa"/>
            <w:gridSpan w:val="3"/>
            <w:vAlign w:val="center"/>
          </w:tcPr>
          <w:p>
            <w:pPr>
              <w:keepNext w:val="0"/>
              <w:keepLines w:val="0"/>
              <w:pageBreakBefore w:val="0"/>
              <w:widowControl/>
              <w:shd w:val="clear" w:fill="auto"/>
              <w:kinsoku/>
              <w:wordWrap/>
              <w:overflowPunct/>
              <w:topLinePunct w:val="0"/>
              <w:autoSpaceDE w:val="0"/>
              <w:autoSpaceDN w:val="0"/>
              <w:bidi w:val="0"/>
              <w:adjustRightInd/>
              <w:snapToGrid/>
              <w:spacing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有下列情形之一的，招标人将重新招标：</w:t>
            </w:r>
          </w:p>
          <w:p>
            <w:pPr>
              <w:keepNext w:val="0"/>
              <w:keepLines w:val="0"/>
              <w:pageBreakBefore w:val="0"/>
              <w:widowControl/>
              <w:shd w:val="clear" w:fill="auto"/>
              <w:kinsoku/>
              <w:wordWrap/>
              <w:overflowPunct/>
              <w:topLinePunct w:val="0"/>
              <w:autoSpaceDE w:val="0"/>
              <w:autoSpaceDN w:val="0"/>
              <w:bidi w:val="0"/>
              <w:adjustRightInd/>
              <w:snapToGrid/>
              <w:spacing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(l）投标截止时间止，投标人少于3个的；</w:t>
            </w:r>
          </w:p>
          <w:p>
            <w:pPr>
              <w:keepNext w:val="0"/>
              <w:keepLines w:val="0"/>
              <w:pageBreakBefore w:val="0"/>
              <w:widowControl/>
              <w:shd w:val="clear" w:fill="auto"/>
              <w:kinsoku/>
              <w:wordWrap/>
              <w:overflowPunct/>
              <w:topLinePunct w:val="0"/>
              <w:autoSpaceDE w:val="0"/>
              <w:autoSpaceDN w:val="0"/>
              <w:bidi w:val="0"/>
              <w:adjustRightInd/>
              <w:snapToGrid/>
              <w:spacing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(2）经评标委员会评审后否决所有投标的。</w:t>
            </w:r>
          </w:p>
          <w:p>
            <w:pPr>
              <w:keepNext w:val="0"/>
              <w:keepLines w:val="0"/>
              <w:pageBreakBefore w:val="0"/>
              <w:widowControl/>
              <w:shd w:val="clear" w:fill="auto"/>
              <w:kinsoku/>
              <w:wordWrap/>
              <w:overflowPunct/>
              <w:topLinePunct w:val="0"/>
              <w:autoSpaceDE w:val="0"/>
              <w:autoSpaceDN w:val="0"/>
              <w:bidi w:val="0"/>
              <w:adjustRightInd/>
              <w:snapToGrid/>
              <w:spacing w:line="400" w:lineRule="exact"/>
              <w:ind w:left="0" w:right="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除以上的情形外，除非已经产生中标候选人，在投标有效期内同意延长投标有效期的投标人少于三个的，招标人应当依法重新招标。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615" w:type="dxa"/>
            <w:gridSpan w:val="4"/>
            <w:vAlign w:val="center"/>
          </w:tcPr>
          <w:p>
            <w:pPr>
              <w:keepNext w:val="0"/>
              <w:keepLines w:val="0"/>
              <w:pageBreakBefore w:val="0"/>
              <w:widowControl/>
              <w:shd w:val="clear" w:fill="auto"/>
              <w:kinsoku/>
              <w:wordWrap/>
              <w:overflowPunct/>
              <w:topLinePunct w:val="0"/>
              <w:autoSpaceDE w:val="0"/>
              <w:autoSpaceDN w:val="0"/>
              <w:bidi w:val="0"/>
              <w:adjustRightInd/>
              <w:snapToGrid/>
              <w:spacing w:line="400" w:lineRule="exact"/>
              <w:ind w:left="0" w:right="0"/>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10.6同义词语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50" w:type="dxa"/>
            <w:vAlign w:val="center"/>
          </w:tcPr>
          <w:p>
            <w:pPr>
              <w:keepNext w:val="0"/>
              <w:keepLines w:val="0"/>
              <w:pageBreakBefore w:val="0"/>
              <w:widowControl/>
              <w:shd w:val="clear" w:fill="auto"/>
              <w:kinsoku/>
              <w:wordWrap/>
              <w:overflowPunct/>
              <w:topLinePunct w:val="0"/>
              <w:autoSpaceDE w:val="0"/>
              <w:autoSpaceDN w:val="0"/>
              <w:bidi w:val="0"/>
              <w:adjustRightInd/>
              <w:snapToGrid/>
              <w:spacing w:line="410" w:lineRule="exact"/>
              <w:ind w:left="0" w:right="0"/>
              <w:jc w:val="left"/>
              <w:textAlignment w:val="auto"/>
              <w:rPr>
                <w:rFonts w:hint="eastAsia" w:ascii="宋体" w:hAnsi="宋体" w:eastAsia="宋体" w:cs="宋体"/>
                <w:color w:val="auto"/>
                <w:kern w:val="2"/>
                <w:sz w:val="21"/>
                <w:szCs w:val="21"/>
                <w:highlight w:val="none"/>
                <w:lang w:val="en-US" w:eastAsia="zh-CN" w:bidi="ar-SA"/>
              </w:rPr>
            </w:pPr>
          </w:p>
        </w:tc>
        <w:tc>
          <w:tcPr>
            <w:tcW w:w="8565" w:type="dxa"/>
            <w:gridSpan w:val="3"/>
            <w:vAlign w:val="center"/>
          </w:tcPr>
          <w:p>
            <w:pPr>
              <w:keepNext w:val="0"/>
              <w:keepLines w:val="0"/>
              <w:pageBreakBefore w:val="0"/>
              <w:widowControl/>
              <w:shd w:val="clear" w:fill="auto"/>
              <w:kinsoku/>
              <w:wordWrap/>
              <w:overflowPunct/>
              <w:topLinePunct w:val="0"/>
              <w:autoSpaceDE w:val="0"/>
              <w:autoSpaceDN w:val="0"/>
              <w:bidi w:val="0"/>
              <w:adjustRightInd/>
              <w:snapToGrid/>
              <w:spacing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构成招标文件组成部分的“通用合同条款”、“专用合同条款”、“技术标准和要求”</w:t>
            </w:r>
          </w:p>
          <w:p>
            <w:pPr>
              <w:keepNext w:val="0"/>
              <w:keepLines w:val="0"/>
              <w:pageBreakBefore w:val="0"/>
              <w:widowControl/>
              <w:shd w:val="clear" w:fill="auto"/>
              <w:kinsoku/>
              <w:wordWrap/>
              <w:overflowPunct/>
              <w:topLinePunct w:val="0"/>
              <w:autoSpaceDE w:val="0"/>
              <w:autoSpaceDN w:val="0"/>
              <w:bidi w:val="0"/>
              <w:adjustRightInd/>
              <w:snapToGrid/>
              <w:spacing w:line="400" w:lineRule="exact"/>
              <w:ind w:left="0" w:right="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15" w:type="dxa"/>
            <w:gridSpan w:val="4"/>
            <w:vAlign w:val="center"/>
          </w:tcPr>
          <w:p>
            <w:pPr>
              <w:keepNext w:val="0"/>
              <w:keepLines w:val="0"/>
              <w:pageBreakBefore w:val="0"/>
              <w:widowControl/>
              <w:shd w:val="clear" w:fill="auto"/>
              <w:kinsoku/>
              <w:wordWrap/>
              <w:overflowPunct/>
              <w:topLinePunct w:val="0"/>
              <w:autoSpaceDE w:val="0"/>
              <w:autoSpaceDN w:val="0"/>
              <w:bidi w:val="0"/>
              <w:adjustRightInd/>
              <w:snapToGrid/>
              <w:spacing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vAlign w:val="center"/>
          </w:tcPr>
          <w:p>
            <w:pPr>
              <w:keepNext w:val="0"/>
              <w:keepLines w:val="0"/>
              <w:pageBreakBefore w:val="0"/>
              <w:widowControl/>
              <w:shd w:val="clear" w:fill="auto"/>
              <w:kinsoku/>
              <w:wordWrap/>
              <w:overflowPunct/>
              <w:topLinePunct w:val="0"/>
              <w:autoSpaceDE w:val="0"/>
              <w:autoSpaceDN w:val="0"/>
              <w:bidi w:val="0"/>
              <w:adjustRightInd/>
              <w:snapToGrid/>
              <w:spacing w:line="410" w:lineRule="exact"/>
              <w:ind w:left="0" w:right="0"/>
              <w:jc w:val="left"/>
              <w:textAlignment w:val="auto"/>
              <w:rPr>
                <w:rFonts w:hint="eastAsia" w:ascii="宋体" w:hAnsi="宋体" w:eastAsia="宋体" w:cs="宋体"/>
                <w:color w:val="auto"/>
                <w:sz w:val="21"/>
                <w:szCs w:val="21"/>
                <w:highlight w:val="none"/>
                <w:lang w:val="en-US" w:eastAsia="zh-CN"/>
              </w:rPr>
            </w:pPr>
          </w:p>
        </w:tc>
        <w:tc>
          <w:tcPr>
            <w:tcW w:w="8565" w:type="dxa"/>
            <w:gridSpan w:val="3"/>
            <w:vAlign w:val="center"/>
          </w:tcPr>
          <w:p>
            <w:pPr>
              <w:keepNext w:val="0"/>
              <w:keepLines w:val="0"/>
              <w:pageBreakBefore w:val="0"/>
              <w:widowControl/>
              <w:shd w:val="clear" w:fill="auto"/>
              <w:kinsoku/>
              <w:wordWrap/>
              <w:overflowPunct/>
              <w:topLinePunct w:val="0"/>
              <w:autoSpaceDE w:val="0"/>
              <w:autoSpaceDN w:val="0"/>
              <w:bidi w:val="0"/>
              <w:adjustRightInd/>
              <w:snapToGrid/>
              <w:spacing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本项目的招标投标活动及其相关当事人应当接受政府有关部门依法实施的监督、监察。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15" w:type="dxa"/>
            <w:gridSpan w:val="4"/>
            <w:vAlign w:val="center"/>
          </w:tcPr>
          <w:p>
            <w:pPr>
              <w:keepNext w:val="0"/>
              <w:keepLines w:val="0"/>
              <w:pageBreakBefore w:val="0"/>
              <w:widowControl/>
              <w:shd w:val="clear" w:fill="auto"/>
              <w:kinsoku/>
              <w:wordWrap/>
              <w:overflowPunct/>
              <w:topLinePunct w:val="0"/>
              <w:autoSpaceDE w:val="0"/>
              <w:autoSpaceDN w:val="0"/>
              <w:bidi w:val="0"/>
              <w:adjustRightInd/>
              <w:snapToGrid/>
              <w:spacing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50" w:type="dxa"/>
            <w:vAlign w:val="center"/>
          </w:tcPr>
          <w:p>
            <w:pPr>
              <w:keepNext w:val="0"/>
              <w:keepLines w:val="0"/>
              <w:pageBreakBefore w:val="0"/>
              <w:widowControl/>
              <w:shd w:val="clear" w:fill="auto"/>
              <w:kinsoku/>
              <w:wordWrap/>
              <w:overflowPunct/>
              <w:topLinePunct w:val="0"/>
              <w:autoSpaceDE w:val="0"/>
              <w:autoSpaceDN w:val="0"/>
              <w:bidi w:val="0"/>
              <w:adjustRightInd/>
              <w:snapToGrid/>
              <w:spacing w:line="410" w:lineRule="exact"/>
              <w:ind w:left="0" w:right="0"/>
              <w:jc w:val="left"/>
              <w:textAlignment w:val="auto"/>
              <w:rPr>
                <w:rFonts w:hint="eastAsia" w:ascii="宋体" w:hAnsi="宋体" w:eastAsia="宋体" w:cs="宋体"/>
                <w:color w:val="auto"/>
                <w:sz w:val="21"/>
                <w:szCs w:val="21"/>
                <w:highlight w:val="none"/>
                <w:lang w:val="en-US" w:eastAsia="zh-CN"/>
              </w:rPr>
            </w:pPr>
          </w:p>
        </w:tc>
        <w:tc>
          <w:tcPr>
            <w:tcW w:w="8565" w:type="dxa"/>
            <w:gridSpan w:val="3"/>
            <w:vAlign w:val="center"/>
          </w:tcPr>
          <w:p>
            <w:pPr>
              <w:keepNext w:val="0"/>
              <w:keepLines w:val="0"/>
              <w:pageBreakBefore w:val="0"/>
              <w:widowControl/>
              <w:shd w:val="clear" w:fill="auto"/>
              <w:kinsoku/>
              <w:wordWrap/>
              <w:overflowPunct/>
              <w:topLinePunct w:val="0"/>
              <w:autoSpaceDE w:val="0"/>
              <w:autoSpaceDN w:val="0"/>
              <w:bidi w:val="0"/>
              <w:adjustRightInd/>
              <w:snapToGrid/>
              <w:spacing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w:t>
            </w:r>
            <w:r>
              <w:rPr>
                <w:rFonts w:hint="eastAsia" w:ascii="宋体" w:hAnsi="宋体" w:eastAsia="宋体" w:cs="宋体"/>
                <w:color w:val="auto"/>
                <w:sz w:val="21"/>
                <w:szCs w:val="21"/>
                <w:highlight w:val="none"/>
                <w:lang w:eastAsia="zh-CN"/>
              </w:rPr>
              <w:t>招标公告</w:t>
            </w:r>
            <w:r>
              <w:rPr>
                <w:rFonts w:hint="eastAsia" w:ascii="宋体" w:hAnsi="宋体" w:eastAsia="宋体" w:cs="宋体"/>
                <w:color w:val="auto"/>
                <w:sz w:val="21"/>
                <w:szCs w:val="21"/>
                <w:highlight w:val="none"/>
              </w:rPr>
              <w:t>）、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15" w:type="dxa"/>
            <w:gridSpan w:val="4"/>
            <w:vAlign w:val="center"/>
          </w:tcPr>
          <w:p>
            <w:pPr>
              <w:keepNext w:val="0"/>
              <w:keepLines w:val="0"/>
              <w:pageBreakBefore w:val="0"/>
              <w:widowControl/>
              <w:shd w:val="clear" w:fill="auto"/>
              <w:kinsoku/>
              <w:wordWrap/>
              <w:overflowPunct/>
              <w:topLinePunct w:val="0"/>
              <w:autoSpaceDE w:val="0"/>
              <w:autoSpaceDN w:val="0"/>
              <w:bidi w:val="0"/>
              <w:adjustRightInd/>
              <w:snapToGrid/>
              <w:spacing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招标人声明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50" w:type="dxa"/>
            <w:vAlign w:val="center"/>
          </w:tcPr>
          <w:p>
            <w:pPr>
              <w:keepNext w:val="0"/>
              <w:keepLines w:val="0"/>
              <w:pageBreakBefore w:val="0"/>
              <w:widowControl/>
              <w:shd w:val="clear" w:fill="auto"/>
              <w:kinsoku/>
              <w:wordWrap/>
              <w:overflowPunct/>
              <w:topLinePunct w:val="0"/>
              <w:autoSpaceDE w:val="0"/>
              <w:autoSpaceDN w:val="0"/>
              <w:bidi w:val="0"/>
              <w:adjustRightInd/>
              <w:snapToGrid/>
              <w:spacing w:line="410" w:lineRule="exact"/>
              <w:ind w:left="0" w:right="0"/>
              <w:jc w:val="left"/>
              <w:textAlignment w:val="auto"/>
              <w:rPr>
                <w:rFonts w:hint="eastAsia" w:ascii="宋体" w:hAnsi="宋体" w:eastAsia="宋体" w:cs="宋体"/>
                <w:color w:val="auto"/>
                <w:kern w:val="2"/>
                <w:sz w:val="21"/>
                <w:szCs w:val="21"/>
                <w:highlight w:val="none"/>
                <w:lang w:val="en-US" w:eastAsia="zh-CN" w:bidi="ar-SA"/>
              </w:rPr>
            </w:pPr>
          </w:p>
        </w:tc>
        <w:tc>
          <w:tcPr>
            <w:tcW w:w="8565" w:type="dxa"/>
            <w:gridSpan w:val="3"/>
            <w:vAlign w:val="center"/>
          </w:tcPr>
          <w:p>
            <w:pPr>
              <w:keepNext w:val="0"/>
              <w:keepLines w:val="0"/>
              <w:pageBreakBefore w:val="0"/>
              <w:widowControl/>
              <w:shd w:val="clear" w:fill="auto"/>
              <w:kinsoku/>
              <w:wordWrap/>
              <w:overflowPunct/>
              <w:topLinePunct w:val="0"/>
              <w:autoSpaceDE w:val="0"/>
              <w:autoSpaceDN w:val="0"/>
              <w:bidi w:val="0"/>
              <w:adjustRightInd/>
              <w:snapToGrid/>
              <w:spacing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1、投标人因参与投标活动而涉及的人身伤害、财产损害、侵犯他人权益、仲裁或诉讼等，应当责任自负，费用自担，并应保证招标人和招标代理机构免于承担上述责任或者其他不利影响。</w:t>
            </w:r>
          </w:p>
          <w:p>
            <w:pPr>
              <w:keepNext w:val="0"/>
              <w:keepLines w:val="0"/>
              <w:pageBreakBefore w:val="0"/>
              <w:widowControl/>
              <w:shd w:val="clear" w:fill="auto"/>
              <w:kinsoku/>
              <w:wordWrap/>
              <w:overflowPunct/>
              <w:topLinePunct w:val="0"/>
              <w:autoSpaceDE w:val="0"/>
              <w:autoSpaceDN w:val="0"/>
              <w:bidi w:val="0"/>
              <w:adjustRightInd/>
              <w:snapToGrid/>
              <w:spacing w:line="400" w:lineRule="exact"/>
              <w:ind w:left="0" w:right="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2、招标人声明招标文件中附带的参考资料是招标人掌握的现有的和客观的信息，招标人不对投标人由此做出的任何理解、推论、判断、结论和决策负责。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50" w:type="dxa"/>
            <w:vAlign w:val="center"/>
          </w:tcPr>
          <w:p>
            <w:pPr>
              <w:keepNext w:val="0"/>
              <w:keepLines w:val="0"/>
              <w:pageBreakBefore w:val="0"/>
              <w:widowControl/>
              <w:shd w:val="clear" w:fill="auto"/>
              <w:kinsoku/>
              <w:wordWrap/>
              <w:overflowPunct/>
              <w:topLinePunct w:val="0"/>
              <w:autoSpaceDE w:val="0"/>
              <w:autoSpaceDN w:val="0"/>
              <w:bidi w:val="0"/>
              <w:adjustRightInd/>
              <w:snapToGrid/>
              <w:spacing w:line="41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r>
              <w:rPr>
                <w:rFonts w:hint="eastAsia" w:ascii="宋体" w:hAnsi="宋体" w:eastAsia="宋体" w:cs="宋体"/>
                <w:color w:val="auto"/>
                <w:sz w:val="21"/>
                <w:szCs w:val="21"/>
                <w:highlight w:val="none"/>
                <w:lang w:val="en-US" w:eastAsia="zh-CN"/>
              </w:rPr>
              <w:t>0</w:t>
            </w:r>
          </w:p>
        </w:tc>
        <w:tc>
          <w:tcPr>
            <w:tcW w:w="1065" w:type="dxa"/>
            <w:vAlign w:val="center"/>
          </w:tcPr>
          <w:p>
            <w:pPr>
              <w:keepNext w:val="0"/>
              <w:keepLines w:val="0"/>
              <w:pageBreakBefore w:val="0"/>
              <w:widowControl/>
              <w:shd w:val="clear" w:fill="auto"/>
              <w:kinsoku/>
              <w:wordWrap/>
              <w:overflowPunct/>
              <w:topLinePunct w:val="0"/>
              <w:autoSpaceDE w:val="0"/>
              <w:autoSpaceDN w:val="0"/>
              <w:bidi w:val="0"/>
              <w:adjustRightInd/>
              <w:snapToGrid/>
              <w:spacing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cs="宋体"/>
                <w:szCs w:val="21"/>
                <w:highlight w:val="none"/>
              </w:rPr>
              <w:t>特别提醒</w:t>
            </w:r>
          </w:p>
        </w:tc>
        <w:tc>
          <w:tcPr>
            <w:tcW w:w="7500" w:type="dxa"/>
            <w:gridSpan w:val="2"/>
            <w:vAlign w:val="center"/>
          </w:tcPr>
          <w:p>
            <w:pPr>
              <w:keepNext w:val="0"/>
              <w:keepLines w:val="0"/>
              <w:pageBreakBefore w:val="0"/>
              <w:widowControl/>
              <w:shd w:val="clear" w:fill="auto"/>
              <w:kinsoku/>
              <w:wordWrap/>
              <w:overflowPunct/>
              <w:topLinePunct w:val="0"/>
              <w:autoSpaceDE w:val="0"/>
              <w:autoSpaceDN w:val="0"/>
              <w:bidi w:val="0"/>
              <w:adjustRightInd/>
              <w:snapToGrid/>
              <w:spacing w:line="400" w:lineRule="exact"/>
              <w:ind w:left="0" w:right="0"/>
              <w:jc w:val="left"/>
              <w:textAlignment w:val="auto"/>
              <w:rPr>
                <w:rFonts w:ascii="宋体" w:hAnsi="宋体" w:cs="宋体"/>
                <w:szCs w:val="21"/>
                <w:highlight w:val="none"/>
              </w:rPr>
            </w:pPr>
            <w:r>
              <w:rPr>
                <w:rFonts w:hint="eastAsia" w:ascii="宋体" w:hAnsi="宋体" w:cs="宋体"/>
                <w:szCs w:val="21"/>
                <w:highlight w:val="none"/>
              </w:rPr>
              <w:t>本次招标采用电子标，具体要求：</w:t>
            </w:r>
          </w:p>
          <w:p>
            <w:pPr>
              <w:pStyle w:val="51"/>
              <w:keepNext w:val="0"/>
              <w:keepLines w:val="0"/>
              <w:pageBreakBefore w:val="0"/>
              <w:widowControl/>
              <w:shd w:val="clear" w:fill="auto"/>
              <w:kinsoku/>
              <w:wordWrap/>
              <w:overflowPunct/>
              <w:topLinePunct w:val="0"/>
              <w:bidi w:val="0"/>
              <w:adjustRightInd/>
              <w:snapToGrid/>
              <w:spacing w:line="400" w:lineRule="exact"/>
              <w:ind w:left="0" w:right="0" w:hanging="105" w:hangingChars="50"/>
              <w:textAlignment w:val="auto"/>
              <w:rPr>
                <w:rFonts w:ascii="宋体" w:hAnsi="宋体" w:cs="宋体"/>
                <w:szCs w:val="21"/>
                <w:highlight w:val="none"/>
              </w:rPr>
            </w:pPr>
            <w:r>
              <w:rPr>
                <w:rFonts w:hint="eastAsia" w:ascii="宋体" w:hAnsi="宋体" w:cs="宋体"/>
                <w:szCs w:val="21"/>
                <w:highlight w:val="none"/>
              </w:rPr>
              <w:t>（1）电子投标文件是指投标人按照郑州航空港经济综合实验区(郑州新郑综合保税区)公共资源交易中心平台系统要求格式制作的投标文件。加密电子投标文件须在投标文件的递交截止时间前通过交易中心电子交易平台系统上传完毕。</w:t>
            </w:r>
          </w:p>
          <w:p>
            <w:pPr>
              <w:pStyle w:val="51"/>
              <w:keepNext w:val="0"/>
              <w:keepLines w:val="0"/>
              <w:pageBreakBefore w:val="0"/>
              <w:widowControl/>
              <w:shd w:val="clear" w:fill="auto"/>
              <w:kinsoku/>
              <w:wordWrap/>
              <w:overflowPunct/>
              <w:topLinePunct w:val="0"/>
              <w:bidi w:val="0"/>
              <w:adjustRightInd/>
              <w:snapToGrid/>
              <w:spacing w:line="400" w:lineRule="exact"/>
              <w:ind w:left="0" w:right="0" w:hanging="105" w:hangingChars="50"/>
              <w:textAlignment w:val="auto"/>
              <w:rPr>
                <w:rFonts w:ascii="宋体" w:hAnsi="宋体" w:cs="宋体"/>
                <w:szCs w:val="21"/>
                <w:highlight w:val="none"/>
              </w:rPr>
            </w:pPr>
            <w:r>
              <w:rPr>
                <w:rFonts w:hint="eastAsia" w:ascii="宋体" w:hAnsi="宋体" w:cs="宋体"/>
                <w:szCs w:val="21"/>
                <w:highlight w:val="none"/>
              </w:rPr>
              <w:t>（2）因交易中心平台在开标前具有保密性，投标人在投标截止时间前须自行查看项目进展、变更通知、澄清及回复，因投标人未及时查看而造成的后果自负。当招标文件、补充文件、答疑文件内容相互矛盾时，以最后发出的文件为准。</w:t>
            </w:r>
          </w:p>
          <w:p>
            <w:pPr>
              <w:pStyle w:val="51"/>
              <w:keepNext w:val="0"/>
              <w:keepLines w:val="0"/>
              <w:pageBreakBefore w:val="0"/>
              <w:widowControl/>
              <w:shd w:val="clear" w:fill="auto"/>
              <w:kinsoku/>
              <w:wordWrap/>
              <w:overflowPunct/>
              <w:topLinePunct w:val="0"/>
              <w:bidi w:val="0"/>
              <w:adjustRightInd/>
              <w:snapToGrid/>
              <w:spacing w:line="400" w:lineRule="exact"/>
              <w:ind w:left="0" w:right="0" w:hanging="105" w:hangingChars="50"/>
              <w:textAlignment w:val="auto"/>
              <w:rPr>
                <w:rFonts w:ascii="宋体" w:hAnsi="宋体" w:cs="宋体"/>
                <w:szCs w:val="21"/>
                <w:highlight w:val="none"/>
              </w:rPr>
            </w:pPr>
            <w:r>
              <w:rPr>
                <w:rFonts w:hint="eastAsia" w:ascii="宋体" w:hAnsi="宋体" w:cs="宋体"/>
                <w:szCs w:val="21"/>
                <w:highlight w:val="none"/>
              </w:rPr>
              <w:t>（3）本项目采用“远程不见面”开标方式，投标人无需到郑州航空港经济综合实验区（郑州新郑综合保税区）公共资源交易中心现场参加开标会议，无需到达现场提交原件资料。投标人应当在投标截止时间前，登录郑州航空港经济综合实验区（郑州新郑综合保税区）公共资源交易中心网远程开标大厅，在线准时参加开标活动并进行文件解密等工作。不见面开标的具体事宜请查阅郑州航空港经济综合实验区（郑州新郑综合保税区）公共资源交易中心网站“公共服务--下载专区”栏目内《郑州航空港经济综合实验区公共资源交易中心不见面开标大厅操作手册》。</w:t>
            </w:r>
          </w:p>
          <w:p>
            <w:pPr>
              <w:pStyle w:val="51"/>
              <w:keepNext w:val="0"/>
              <w:keepLines w:val="0"/>
              <w:pageBreakBefore w:val="0"/>
              <w:widowControl/>
              <w:shd w:val="clear" w:fill="auto"/>
              <w:kinsoku/>
              <w:wordWrap/>
              <w:overflowPunct/>
              <w:topLinePunct w:val="0"/>
              <w:bidi w:val="0"/>
              <w:adjustRightInd/>
              <w:snapToGrid/>
              <w:spacing w:line="400" w:lineRule="exact"/>
              <w:ind w:left="0" w:right="0" w:hanging="105" w:hangingChars="50"/>
              <w:textAlignment w:val="auto"/>
              <w:rPr>
                <w:rFonts w:ascii="宋体" w:hAnsi="宋体" w:cs="宋体"/>
                <w:szCs w:val="21"/>
                <w:highlight w:val="none"/>
              </w:rPr>
            </w:pPr>
            <w:r>
              <w:rPr>
                <w:rFonts w:hint="eastAsia" w:ascii="宋体" w:hAnsi="宋体" w:cs="宋体"/>
                <w:szCs w:val="21"/>
                <w:highlight w:val="none"/>
              </w:rPr>
              <w:t>（4）如投标人原因未上传电子投标文件的，或其投标文件无法解密、未按要求在规定时间内完成解密或者解密失败、视为不满足招标文件要求，其投标按无效投标处理。</w:t>
            </w:r>
          </w:p>
          <w:p>
            <w:pPr>
              <w:pStyle w:val="51"/>
              <w:keepNext w:val="0"/>
              <w:keepLines w:val="0"/>
              <w:pageBreakBefore w:val="0"/>
              <w:widowControl/>
              <w:shd w:val="clear" w:fill="auto"/>
              <w:kinsoku/>
              <w:wordWrap/>
              <w:overflowPunct/>
              <w:topLinePunct w:val="0"/>
              <w:bidi w:val="0"/>
              <w:adjustRightInd/>
              <w:snapToGrid/>
              <w:spacing w:line="400" w:lineRule="exact"/>
              <w:ind w:left="0" w:right="0" w:hanging="105" w:hangingChars="50"/>
              <w:textAlignment w:val="auto"/>
              <w:rPr>
                <w:rFonts w:ascii="宋体" w:hAnsi="宋体" w:cs="宋体"/>
                <w:szCs w:val="21"/>
                <w:highlight w:val="none"/>
              </w:rPr>
            </w:pPr>
            <w:r>
              <w:rPr>
                <w:rFonts w:hint="eastAsia" w:ascii="宋体" w:hAnsi="宋体" w:cs="宋体"/>
                <w:szCs w:val="21"/>
                <w:highlight w:val="none"/>
              </w:rPr>
              <w:t>（5）投标人将评审环节需查看的企业业绩或人员证书等有关资料附在投标文件中并对提供资料的真实性负责，不再提供原件。</w:t>
            </w:r>
          </w:p>
          <w:p>
            <w:pPr>
              <w:pStyle w:val="51"/>
              <w:keepNext w:val="0"/>
              <w:keepLines w:val="0"/>
              <w:pageBreakBefore w:val="0"/>
              <w:widowControl/>
              <w:shd w:val="clear" w:fill="auto"/>
              <w:kinsoku/>
              <w:wordWrap/>
              <w:overflowPunct/>
              <w:topLinePunct w:val="0"/>
              <w:bidi w:val="0"/>
              <w:adjustRightInd/>
              <w:snapToGrid/>
              <w:spacing w:line="400" w:lineRule="exact"/>
              <w:ind w:left="0" w:right="0" w:hanging="105" w:hangingChars="50"/>
              <w:textAlignment w:val="auto"/>
              <w:rPr>
                <w:rFonts w:ascii="宋体" w:hAnsi="宋体" w:cs="宋体"/>
                <w:szCs w:val="21"/>
                <w:highlight w:val="none"/>
              </w:rPr>
            </w:pPr>
            <w:r>
              <w:rPr>
                <w:rFonts w:hint="eastAsia" w:ascii="宋体" w:hAnsi="宋体" w:cs="宋体"/>
                <w:szCs w:val="21"/>
                <w:highlight w:val="none"/>
              </w:rPr>
              <w:t>（6）本招标项目的投标人，使用CA数字证书登录《郑州航空港经济综合实验区（郑州新郑综合保税区）公共资源交易中心电子招投标交易平台》，下载电子招标文件，按照系统提示制作投标文件。</w:t>
            </w:r>
          </w:p>
          <w:p>
            <w:pPr>
              <w:pStyle w:val="51"/>
              <w:keepNext w:val="0"/>
              <w:keepLines w:val="0"/>
              <w:pageBreakBefore w:val="0"/>
              <w:widowControl/>
              <w:shd w:val="clear" w:fill="auto"/>
              <w:kinsoku/>
              <w:wordWrap/>
              <w:overflowPunct/>
              <w:topLinePunct w:val="0"/>
              <w:bidi w:val="0"/>
              <w:adjustRightInd/>
              <w:snapToGrid/>
              <w:spacing w:line="400" w:lineRule="exact"/>
              <w:ind w:left="0" w:right="0" w:hanging="105" w:hangingChars="50"/>
              <w:textAlignment w:val="auto"/>
              <w:rPr>
                <w:rFonts w:ascii="宋体" w:hAnsi="宋体" w:cs="宋体"/>
                <w:szCs w:val="21"/>
                <w:highlight w:val="none"/>
              </w:rPr>
            </w:pPr>
            <w:r>
              <w:rPr>
                <w:rFonts w:hint="eastAsia" w:ascii="宋体" w:hAnsi="宋体" w:cs="宋体"/>
                <w:szCs w:val="21"/>
                <w:highlight w:val="none"/>
              </w:rPr>
              <w:t>（7）电子投标文件中的图片应合理设置图片大小，保证投标文件总容量不至于过大，避免影响顺利上传。投标文件须按要求进行签章后，最终生成电子文件。由于投标人原因，未按要求制作、上传、加密电子投标文件，造成投标文件上传失败的，责任由投标人承担。</w:t>
            </w:r>
          </w:p>
          <w:p>
            <w:pPr>
              <w:pStyle w:val="51"/>
              <w:keepNext w:val="0"/>
              <w:keepLines w:val="0"/>
              <w:pageBreakBefore w:val="0"/>
              <w:widowControl/>
              <w:shd w:val="clear" w:fill="auto"/>
              <w:kinsoku/>
              <w:wordWrap/>
              <w:overflowPunct/>
              <w:topLinePunct w:val="0"/>
              <w:bidi w:val="0"/>
              <w:adjustRightInd/>
              <w:snapToGrid/>
              <w:spacing w:line="400" w:lineRule="exact"/>
              <w:ind w:left="0" w:right="0" w:hanging="105" w:hangingChars="50"/>
              <w:textAlignment w:val="auto"/>
              <w:rPr>
                <w:rFonts w:ascii="宋体" w:hAnsi="宋体" w:cs="宋体"/>
                <w:szCs w:val="21"/>
                <w:highlight w:val="none"/>
              </w:rPr>
            </w:pPr>
            <w:r>
              <w:rPr>
                <w:rFonts w:hint="eastAsia" w:ascii="宋体" w:hAnsi="宋体" w:cs="宋体"/>
                <w:szCs w:val="21"/>
                <w:highlight w:val="none"/>
              </w:rPr>
              <w:t>（8）投标人使用电子招投标系统时，如有相关技术问题请咨询郑州航空港公共资源交易中心电话：0371-86199291、0371-61318573。</w:t>
            </w:r>
          </w:p>
          <w:p>
            <w:pPr>
              <w:keepNext w:val="0"/>
              <w:keepLines w:val="0"/>
              <w:pageBreakBefore w:val="0"/>
              <w:widowControl/>
              <w:shd w:val="clear" w:fill="auto"/>
              <w:kinsoku/>
              <w:wordWrap/>
              <w:overflowPunct/>
              <w:topLinePunct w:val="0"/>
              <w:autoSpaceDE w:val="0"/>
              <w:autoSpaceDN w:val="0"/>
              <w:bidi w:val="0"/>
              <w:adjustRightInd/>
              <w:snapToGrid/>
              <w:spacing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cs="宋体"/>
                <w:szCs w:val="21"/>
                <w:highlight w:val="none"/>
              </w:rPr>
              <w:t>（9）开标当天使用加密生成投标文件所用的CA对投标文件进行解密，因投标人原因造成电子投标文件不能解密的，招标人有权退回其投标文件，造成的一切损失投标人自行承担。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050" w:type="dxa"/>
            <w:vAlign w:val="center"/>
          </w:tcPr>
          <w:p>
            <w:pPr>
              <w:keepNext w:val="0"/>
              <w:keepLines w:val="0"/>
              <w:pageBreakBefore w:val="0"/>
              <w:widowControl/>
              <w:shd w:val="clear" w:fill="auto"/>
              <w:kinsoku/>
              <w:wordWrap/>
              <w:overflowPunct/>
              <w:topLinePunct w:val="0"/>
              <w:autoSpaceDE w:val="0"/>
              <w:autoSpaceDN w:val="0"/>
              <w:bidi w:val="0"/>
              <w:adjustRightInd/>
              <w:snapToGrid/>
              <w:spacing w:line="41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r>
              <w:rPr>
                <w:rFonts w:hint="eastAsia" w:ascii="宋体" w:hAnsi="宋体" w:eastAsia="宋体" w:cs="宋体"/>
                <w:color w:val="auto"/>
                <w:sz w:val="21"/>
                <w:szCs w:val="21"/>
                <w:highlight w:val="none"/>
                <w:lang w:val="en-US" w:eastAsia="zh-CN"/>
              </w:rPr>
              <w:t>1</w:t>
            </w:r>
          </w:p>
        </w:tc>
        <w:tc>
          <w:tcPr>
            <w:tcW w:w="1065" w:type="dxa"/>
            <w:vAlign w:val="center"/>
          </w:tcPr>
          <w:p>
            <w:pPr>
              <w:keepNext w:val="0"/>
              <w:keepLines w:val="0"/>
              <w:pageBreakBefore w:val="0"/>
              <w:widowControl/>
              <w:shd w:val="clear" w:fill="auto"/>
              <w:kinsoku/>
              <w:wordWrap/>
              <w:overflowPunct/>
              <w:topLinePunct w:val="0"/>
              <w:autoSpaceDE w:val="0"/>
              <w:autoSpaceDN w:val="0"/>
              <w:bidi w:val="0"/>
              <w:adjustRightInd/>
              <w:snapToGrid/>
              <w:spacing w:line="41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其他</w:t>
            </w:r>
          </w:p>
        </w:tc>
        <w:tc>
          <w:tcPr>
            <w:tcW w:w="7500" w:type="dxa"/>
            <w:gridSpan w:val="2"/>
            <w:vAlign w:val="center"/>
          </w:tcPr>
          <w:p>
            <w:pPr>
              <w:keepNext w:val="0"/>
              <w:keepLines w:val="0"/>
              <w:pageBreakBefore w:val="0"/>
              <w:widowControl/>
              <w:shd w:val="clear" w:fill="auto"/>
              <w:kinsoku/>
              <w:wordWrap/>
              <w:overflowPunct/>
              <w:topLinePunct w:val="0"/>
              <w:autoSpaceDE/>
              <w:autoSpaceDN/>
              <w:bidi w:val="0"/>
              <w:adjustRightInd/>
              <w:snapToGrid/>
              <w:spacing w:line="400" w:lineRule="exact"/>
              <w:ind w:left="0" w:right="0"/>
              <w:contextualSpacing/>
              <w:jc w:val="left"/>
              <w:textAlignment w:val="auto"/>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w:t>
            </w:r>
            <w:r>
              <w:rPr>
                <w:rFonts w:hint="eastAsia" w:ascii="宋体" w:hAnsi="宋体" w:cs="宋体"/>
                <w:szCs w:val="21"/>
                <w:highlight w:val="none"/>
              </w:rPr>
              <w:t>招标文件、补充文件、补遗书等招标过程中的所有文件的最终解释权归招标人所有。</w:t>
            </w:r>
          </w:p>
          <w:p>
            <w:pPr>
              <w:keepNext w:val="0"/>
              <w:keepLines w:val="0"/>
              <w:pageBreakBefore w:val="0"/>
              <w:widowControl/>
              <w:shd w:val="clear" w:fill="auto"/>
              <w:kinsoku/>
              <w:wordWrap/>
              <w:overflowPunct/>
              <w:topLinePunct w:val="0"/>
              <w:autoSpaceDE/>
              <w:autoSpaceDN/>
              <w:bidi w:val="0"/>
              <w:adjustRightInd/>
              <w:snapToGrid/>
              <w:spacing w:line="400" w:lineRule="exact"/>
              <w:ind w:left="0" w:right="0"/>
              <w:contextualSpacing/>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2、招标服务费</w:t>
            </w:r>
            <w:r>
              <w:rPr>
                <w:rFonts w:hint="eastAsia" w:ascii="宋体" w:hAnsi="宋体" w:eastAsia="宋体" w:cs="宋体"/>
                <w:color w:val="auto"/>
                <w:sz w:val="21"/>
                <w:szCs w:val="21"/>
                <w:highlight w:val="none"/>
              </w:rPr>
              <w:t>根据《国家发展改革委关于进一步放开建设项目专业服务价格的通知》（发改价格[2015]299号）和《河南省招标代理服务收费指导意见》（豫招协[2023]002号）的规定按</w:t>
            </w:r>
            <w:r>
              <w:rPr>
                <w:rFonts w:hint="eastAsia" w:ascii="宋体" w:hAnsi="宋体" w:cs="宋体"/>
                <w:color w:val="auto"/>
                <w:sz w:val="21"/>
                <w:szCs w:val="21"/>
                <w:highlight w:val="none"/>
                <w:lang w:eastAsia="zh-CN"/>
              </w:rPr>
              <w:t>工程</w:t>
            </w:r>
            <w:r>
              <w:rPr>
                <w:rFonts w:hint="eastAsia" w:ascii="宋体" w:hAnsi="宋体" w:eastAsia="宋体" w:cs="宋体"/>
                <w:color w:val="auto"/>
                <w:sz w:val="21"/>
                <w:szCs w:val="21"/>
                <w:highlight w:val="none"/>
              </w:rPr>
              <w:t>类计算，此费用由</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综合考虑到</w:t>
            </w:r>
            <w:r>
              <w:rPr>
                <w:rFonts w:hint="eastAsia" w:ascii="宋体" w:hAnsi="宋体" w:cs="宋体"/>
                <w:color w:val="auto"/>
                <w:sz w:val="21"/>
                <w:szCs w:val="21"/>
                <w:highlight w:val="none"/>
                <w:lang w:eastAsia="zh-CN"/>
              </w:rPr>
              <w:t>投标</w:t>
            </w:r>
            <w:r>
              <w:rPr>
                <w:rFonts w:hint="eastAsia" w:ascii="宋体" w:hAnsi="宋体" w:eastAsia="宋体" w:cs="宋体"/>
                <w:color w:val="auto"/>
                <w:sz w:val="21"/>
                <w:szCs w:val="21"/>
                <w:highlight w:val="none"/>
              </w:rPr>
              <w:t>总价中，不再单独报价。</w:t>
            </w:r>
          </w:p>
          <w:p>
            <w:pPr>
              <w:keepNext w:val="0"/>
              <w:keepLines w:val="0"/>
              <w:pageBreakBefore w:val="0"/>
              <w:widowControl/>
              <w:shd w:val="clear" w:fill="auto"/>
              <w:kinsoku/>
              <w:wordWrap/>
              <w:overflowPunct/>
              <w:topLinePunct w:val="0"/>
              <w:autoSpaceDE/>
              <w:autoSpaceDN/>
              <w:bidi w:val="0"/>
              <w:adjustRightInd/>
              <w:snapToGrid/>
              <w:spacing w:line="400" w:lineRule="exact"/>
              <w:ind w:left="0" w:right="0"/>
              <w:contextualSpacing/>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3、本项目为</w:t>
            </w:r>
            <w:r>
              <w:rPr>
                <w:rFonts w:hint="eastAsia" w:ascii="宋体" w:hAnsi="宋体" w:eastAsia="宋体" w:cs="宋体"/>
                <w:b/>
                <w:bCs/>
                <w:szCs w:val="21"/>
                <w:highlight w:val="none"/>
                <w:lang w:eastAsia="zh-CN"/>
              </w:rPr>
              <w:t>财政</w:t>
            </w:r>
            <w:r>
              <w:rPr>
                <w:rFonts w:hint="eastAsia" w:ascii="宋体" w:hAnsi="宋体" w:eastAsia="宋体" w:cs="宋体"/>
                <w:b/>
                <w:bCs/>
                <w:szCs w:val="21"/>
                <w:highlight w:val="none"/>
              </w:rPr>
              <w:t>资金</w:t>
            </w:r>
            <w:r>
              <w:rPr>
                <w:rFonts w:hint="eastAsia" w:ascii="宋体" w:hAnsi="宋体" w:eastAsia="宋体" w:cs="宋体"/>
                <w:b/>
                <w:bCs/>
                <w:szCs w:val="21"/>
                <w:highlight w:val="none"/>
                <w:lang w:eastAsia="zh-CN"/>
              </w:rPr>
              <w:t>，具体付款周期以财政部门的实际付款节点为准，在施工过程中，中标单位不得以财政部门付款周期较长为由，影响施工总工期。</w:t>
            </w:r>
          </w:p>
          <w:p>
            <w:pPr>
              <w:keepNext w:val="0"/>
              <w:keepLines w:val="0"/>
              <w:pageBreakBefore w:val="0"/>
              <w:widowControl/>
              <w:shd w:val="clear" w:fill="auto"/>
              <w:kinsoku/>
              <w:wordWrap/>
              <w:overflowPunct/>
              <w:topLinePunct w:val="0"/>
              <w:autoSpaceDE/>
              <w:autoSpaceDN/>
              <w:bidi w:val="0"/>
              <w:adjustRightInd/>
              <w:snapToGrid/>
              <w:spacing w:line="400" w:lineRule="exact"/>
              <w:ind w:left="0" w:right="0"/>
              <w:contextualSpacing/>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未尽事宜，按《中华人民共和国招投标法》及相关法律法规执行。</w:t>
            </w:r>
          </w:p>
        </w:tc>
      </w:tr>
    </w:tbl>
    <w:p>
      <w:pPr>
        <w:keepNext w:val="0"/>
        <w:keepLines w:val="0"/>
        <w:pageBreakBefore w:val="0"/>
        <w:shd w:val="clear" w:fill="auto"/>
        <w:kinsoku/>
        <w:wordWrap/>
        <w:overflowPunct/>
        <w:topLinePunct w:val="0"/>
        <w:bidi w:val="0"/>
        <w:snapToGrid/>
        <w:spacing w:line="410" w:lineRule="exact"/>
        <w:ind w:left="0" w:right="0"/>
        <w:textAlignment w:val="auto"/>
        <w:rPr>
          <w:rFonts w:hint="eastAsia" w:ascii="宋体" w:hAnsi="宋体" w:eastAsia="宋体" w:cs="宋体"/>
          <w:b/>
          <w:color w:val="auto"/>
          <w:kern w:val="0"/>
          <w:sz w:val="24"/>
          <w:szCs w:val="20"/>
          <w:highlight w:val="none"/>
        </w:rPr>
      </w:pPr>
      <w:bookmarkStart w:id="8" w:name="_Toc27014"/>
      <w:bookmarkStart w:id="9" w:name="_Toc286063287"/>
      <w:r>
        <w:rPr>
          <w:rFonts w:hint="eastAsia" w:ascii="宋体" w:hAnsi="宋体" w:eastAsia="宋体" w:cs="宋体"/>
          <w:b/>
          <w:color w:val="auto"/>
          <w:kern w:val="0"/>
          <w:sz w:val="24"/>
          <w:szCs w:val="20"/>
          <w:highlight w:val="none"/>
        </w:rPr>
        <w:br w:type="page"/>
      </w:r>
    </w:p>
    <w:p>
      <w:pPr>
        <w:keepNext w:val="0"/>
        <w:keepLines w:val="0"/>
        <w:pageBreakBefore w:val="0"/>
        <w:widowControl/>
        <w:shd w:val="clear" w:fill="auto"/>
        <w:kinsoku/>
        <w:wordWrap/>
        <w:overflowPunct/>
        <w:topLinePunct w:val="0"/>
        <w:autoSpaceDN w:val="0"/>
        <w:bidi w:val="0"/>
        <w:adjustRightInd/>
        <w:snapToGrid/>
        <w:spacing w:line="430" w:lineRule="exact"/>
        <w:jc w:val="both"/>
        <w:textAlignment w:val="auto"/>
        <w:outlineLvl w:val="1"/>
        <w:rPr>
          <w:rFonts w:hint="eastAsia" w:ascii="宋体" w:hAnsi="宋体" w:eastAsia="宋体" w:cs="宋体"/>
          <w:b/>
          <w:color w:val="auto"/>
          <w:kern w:val="0"/>
          <w:sz w:val="24"/>
          <w:szCs w:val="20"/>
          <w:highlight w:val="none"/>
        </w:rPr>
      </w:pPr>
      <w:bookmarkStart w:id="10" w:name="_Toc31786"/>
      <w:bookmarkStart w:id="11" w:name="_Toc15965"/>
      <w:bookmarkStart w:id="12" w:name="_Toc10889"/>
      <w:bookmarkStart w:id="13" w:name="_Toc32133"/>
      <w:r>
        <w:rPr>
          <w:rFonts w:hint="eastAsia" w:ascii="宋体" w:hAnsi="宋体" w:eastAsia="宋体" w:cs="宋体"/>
          <w:b/>
          <w:color w:val="auto"/>
          <w:kern w:val="0"/>
          <w:sz w:val="24"/>
          <w:szCs w:val="20"/>
          <w:highlight w:val="none"/>
        </w:rPr>
        <w:t>1. 总则</w:t>
      </w:r>
      <w:bookmarkEnd w:id="8"/>
      <w:bookmarkEnd w:id="10"/>
      <w:bookmarkEnd w:id="11"/>
      <w:bookmarkEnd w:id="12"/>
      <w:bookmarkEnd w:id="13"/>
    </w:p>
    <w:p>
      <w:pPr>
        <w:keepNext w:val="0"/>
        <w:keepLines w:val="0"/>
        <w:pageBreakBefore w:val="0"/>
        <w:widowControl/>
        <w:shd w:val="clear" w:fill="auto"/>
        <w:kinsoku/>
        <w:wordWrap/>
        <w:overflowPunct/>
        <w:topLinePunct w:val="0"/>
        <w:bidi w:val="0"/>
        <w:adjustRightInd/>
        <w:snapToGrid/>
        <w:spacing w:line="430" w:lineRule="exact"/>
        <w:jc w:val="left"/>
        <w:textAlignment w:val="auto"/>
        <w:rPr>
          <w:rFonts w:hint="eastAsia" w:ascii="宋体" w:hAnsi="宋体" w:eastAsia="宋体" w:cs="宋体"/>
          <w:b/>
          <w:color w:val="auto"/>
          <w:kern w:val="0"/>
          <w:sz w:val="21"/>
          <w:szCs w:val="21"/>
          <w:highlight w:val="none"/>
        </w:rPr>
      </w:pPr>
      <w:bookmarkStart w:id="14" w:name="_Toc247639840"/>
      <w:bookmarkStart w:id="15" w:name="_Toc360629028"/>
      <w:bookmarkStart w:id="16" w:name="_Toc279505599"/>
      <w:bookmarkStart w:id="17" w:name="_Toc286063238"/>
      <w:bookmarkStart w:id="18" w:name="_Toc286069501"/>
      <w:r>
        <w:rPr>
          <w:rFonts w:hint="eastAsia" w:ascii="宋体" w:hAnsi="宋体" w:eastAsia="宋体" w:cs="宋体"/>
          <w:b/>
          <w:color w:val="auto"/>
          <w:kern w:val="0"/>
          <w:sz w:val="21"/>
          <w:szCs w:val="21"/>
          <w:highlight w:val="none"/>
        </w:rPr>
        <w:t>1.1 项目概况</w:t>
      </w:r>
      <w:bookmarkEnd w:id="14"/>
      <w:bookmarkEnd w:id="15"/>
      <w:bookmarkEnd w:id="16"/>
      <w:bookmarkEnd w:id="17"/>
      <w:bookmarkEnd w:id="18"/>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1.1.1 根据《中华人民共和国招标投标法》等有关法律、法规和规章的规定，本招标项目已具备招标条件，现对本项目施工进行招标。</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1.1.2 本招标项目招标人：见投标人须知前附表。</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1.1.3 本项目招标代理机构：见投标人须知前附表。</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1.1.4 本招标项目名称：见投标人须知前附表。</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1.1.5 本项目建设地点：见投标人须知前附表。</w:t>
      </w:r>
    </w:p>
    <w:p>
      <w:pPr>
        <w:keepNext w:val="0"/>
        <w:keepLines w:val="0"/>
        <w:pageBreakBefore w:val="0"/>
        <w:widowControl/>
        <w:shd w:val="clear" w:fill="auto"/>
        <w:kinsoku/>
        <w:wordWrap/>
        <w:overflowPunct/>
        <w:topLinePunct w:val="0"/>
        <w:bidi w:val="0"/>
        <w:adjustRightInd/>
        <w:snapToGrid/>
        <w:spacing w:line="430" w:lineRule="exact"/>
        <w:ind w:firstLine="420" w:firstLineChars="200"/>
        <w:jc w:val="left"/>
        <w:textAlignment w:val="auto"/>
        <w:rPr>
          <w:rFonts w:hint="eastAsia" w:ascii="宋体" w:hAnsi="宋体" w:eastAsia="宋体" w:cs="宋体"/>
          <w:b w:val="0"/>
          <w:bCs/>
          <w:color w:val="auto"/>
          <w:kern w:val="0"/>
          <w:sz w:val="21"/>
          <w:szCs w:val="21"/>
          <w:highlight w:val="none"/>
        </w:rPr>
      </w:pPr>
      <w:bookmarkStart w:id="19" w:name="_Toc279505600"/>
      <w:bookmarkStart w:id="20" w:name="_Toc286069502"/>
      <w:bookmarkStart w:id="21" w:name="_Toc247639841"/>
      <w:bookmarkStart w:id="22" w:name="_Toc360629029"/>
      <w:bookmarkStart w:id="23" w:name="_Toc286063239"/>
      <w:r>
        <w:rPr>
          <w:rFonts w:hint="eastAsia" w:ascii="宋体" w:hAnsi="宋体" w:eastAsia="宋体" w:cs="宋体"/>
          <w:b w:val="0"/>
          <w:bCs/>
          <w:color w:val="auto"/>
          <w:kern w:val="0"/>
          <w:sz w:val="21"/>
          <w:szCs w:val="21"/>
          <w:highlight w:val="none"/>
        </w:rPr>
        <w:t>1.1.6项目建设规模：见投标人须知前附表。</w:t>
      </w:r>
    </w:p>
    <w:bookmarkEnd w:id="19"/>
    <w:bookmarkEnd w:id="20"/>
    <w:bookmarkEnd w:id="21"/>
    <w:bookmarkEnd w:id="22"/>
    <w:bookmarkEnd w:id="23"/>
    <w:p>
      <w:pPr>
        <w:keepNext w:val="0"/>
        <w:keepLines w:val="0"/>
        <w:pageBreakBefore w:val="0"/>
        <w:widowControl/>
        <w:shd w:val="clear" w:fill="auto"/>
        <w:kinsoku/>
        <w:wordWrap/>
        <w:overflowPunct/>
        <w:topLinePunct w:val="0"/>
        <w:autoSpaceDE w:val="0"/>
        <w:autoSpaceDN w:val="0"/>
        <w:bidi w:val="0"/>
        <w:adjustRightInd/>
        <w:snapToGrid/>
        <w:spacing w:line="430" w:lineRule="exact"/>
        <w:jc w:val="left"/>
        <w:textAlignment w:val="auto"/>
        <w:rPr>
          <w:rFonts w:hint="eastAsia" w:ascii="宋体" w:hAnsi="宋体" w:eastAsia="宋体" w:cs="宋体"/>
          <w:b/>
          <w:bCs/>
          <w:color w:val="auto"/>
          <w:kern w:val="2"/>
          <w:sz w:val="21"/>
          <w:szCs w:val="20"/>
          <w:highlight w:val="none"/>
        </w:rPr>
      </w:pPr>
      <w:r>
        <w:rPr>
          <w:rFonts w:hint="eastAsia" w:ascii="宋体" w:hAnsi="宋体" w:eastAsia="宋体" w:cs="宋体"/>
          <w:b/>
          <w:bCs/>
          <w:color w:val="auto"/>
          <w:kern w:val="2"/>
          <w:sz w:val="21"/>
          <w:szCs w:val="20"/>
          <w:highlight w:val="none"/>
        </w:rPr>
        <w:t>1.2招标项目的资金来源和落实情况</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1.2.1资金来源及比例：见投标人须知前附表。</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1.2.2资金落实情况：见投标人须知前附表。</w:t>
      </w:r>
    </w:p>
    <w:p>
      <w:pPr>
        <w:keepNext w:val="0"/>
        <w:keepLines w:val="0"/>
        <w:pageBreakBefore w:val="0"/>
        <w:widowControl/>
        <w:shd w:val="clear" w:fill="auto"/>
        <w:kinsoku/>
        <w:wordWrap/>
        <w:overflowPunct/>
        <w:topLinePunct w:val="0"/>
        <w:bidi w:val="0"/>
        <w:adjustRightInd/>
        <w:snapToGrid/>
        <w:spacing w:line="430" w:lineRule="exact"/>
        <w:jc w:val="left"/>
        <w:textAlignment w:val="auto"/>
        <w:rPr>
          <w:rFonts w:hint="eastAsia" w:ascii="宋体" w:hAnsi="宋体" w:eastAsia="宋体" w:cs="宋体"/>
          <w:b w:val="0"/>
          <w:bCs/>
          <w:color w:val="auto"/>
          <w:kern w:val="0"/>
          <w:sz w:val="21"/>
          <w:szCs w:val="21"/>
          <w:highlight w:val="none"/>
          <w:lang w:eastAsia="zh-CN"/>
        </w:rPr>
      </w:pPr>
      <w:bookmarkStart w:id="24" w:name="_Toc247639842"/>
      <w:bookmarkStart w:id="25" w:name="_Toc286069503"/>
      <w:bookmarkStart w:id="26" w:name="_Toc360629030"/>
      <w:bookmarkStart w:id="27" w:name="_Toc279505601"/>
      <w:bookmarkStart w:id="28" w:name="_Toc286063240"/>
      <w:r>
        <w:rPr>
          <w:rFonts w:hint="eastAsia" w:ascii="宋体" w:hAnsi="宋体" w:eastAsia="宋体" w:cs="宋体"/>
          <w:b/>
          <w:color w:val="auto"/>
          <w:kern w:val="0"/>
          <w:sz w:val="21"/>
          <w:szCs w:val="21"/>
          <w:highlight w:val="none"/>
        </w:rPr>
        <w:t>1.3 招标范围</w:t>
      </w:r>
      <w:r>
        <w:rPr>
          <w:rFonts w:hint="eastAsia" w:ascii="宋体" w:hAnsi="宋体" w:eastAsia="宋体" w:cs="宋体"/>
          <w:b/>
          <w:color w:val="auto"/>
          <w:kern w:val="0"/>
          <w:sz w:val="21"/>
          <w:szCs w:val="21"/>
          <w:highlight w:val="none"/>
          <w:lang w:eastAsia="zh-CN"/>
        </w:rPr>
        <w:t>及标段划分</w:t>
      </w:r>
      <w:r>
        <w:rPr>
          <w:rFonts w:hint="eastAsia" w:ascii="宋体" w:hAnsi="宋体" w:eastAsia="宋体" w:cs="宋体"/>
          <w:b/>
          <w:color w:val="auto"/>
          <w:kern w:val="0"/>
          <w:sz w:val="21"/>
          <w:szCs w:val="21"/>
          <w:highlight w:val="none"/>
        </w:rPr>
        <w:t>、工期要求</w:t>
      </w:r>
      <w:r>
        <w:rPr>
          <w:rFonts w:hint="eastAsia" w:ascii="宋体" w:hAnsi="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质量要求</w:t>
      </w:r>
      <w:bookmarkEnd w:id="24"/>
      <w:bookmarkEnd w:id="25"/>
      <w:bookmarkEnd w:id="26"/>
      <w:bookmarkEnd w:id="27"/>
      <w:bookmarkEnd w:id="28"/>
      <w:r>
        <w:rPr>
          <w:rFonts w:hint="eastAsia" w:ascii="宋体" w:hAnsi="宋体" w:cs="宋体"/>
          <w:b/>
          <w:color w:val="auto"/>
          <w:kern w:val="0"/>
          <w:sz w:val="21"/>
          <w:szCs w:val="21"/>
          <w:highlight w:val="none"/>
          <w:lang w:eastAsia="zh-CN"/>
        </w:rPr>
        <w:t>、质保期要求及安全管理目标</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1.3.1 招标范围</w:t>
      </w:r>
      <w:r>
        <w:rPr>
          <w:rFonts w:hint="eastAsia" w:ascii="宋体" w:hAnsi="宋体" w:eastAsia="宋体" w:cs="宋体"/>
          <w:color w:val="auto"/>
          <w:kern w:val="0"/>
          <w:sz w:val="21"/>
          <w:szCs w:val="20"/>
          <w:highlight w:val="none"/>
          <w:lang w:eastAsia="zh-CN"/>
        </w:rPr>
        <w:t>及标段划分</w:t>
      </w:r>
      <w:r>
        <w:rPr>
          <w:rFonts w:hint="eastAsia" w:ascii="宋体" w:hAnsi="宋体" w:eastAsia="宋体" w:cs="宋体"/>
          <w:color w:val="auto"/>
          <w:kern w:val="0"/>
          <w:sz w:val="21"/>
          <w:szCs w:val="20"/>
          <w:highlight w:val="none"/>
        </w:rPr>
        <w:t>：见投标人须知前附表。</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1.3.2 工期要求：见投标人须知前附表。</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1.3.3 质量要求：见投标人须知前附表。</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1.3.4 本项目的质保期：见投标人须知前附表。</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1.3.5 本项目的安全管理目标：见投标人须知前附表。</w:t>
      </w:r>
    </w:p>
    <w:p>
      <w:pPr>
        <w:keepNext w:val="0"/>
        <w:keepLines w:val="0"/>
        <w:pageBreakBefore w:val="0"/>
        <w:widowControl/>
        <w:shd w:val="clear" w:fill="auto"/>
        <w:kinsoku/>
        <w:wordWrap/>
        <w:overflowPunct/>
        <w:topLinePunct w:val="0"/>
        <w:bidi w:val="0"/>
        <w:adjustRightInd/>
        <w:snapToGrid/>
        <w:spacing w:line="430" w:lineRule="exact"/>
        <w:jc w:val="left"/>
        <w:textAlignment w:val="auto"/>
        <w:rPr>
          <w:rFonts w:hint="eastAsia" w:ascii="宋体" w:hAnsi="宋体" w:eastAsia="宋体" w:cs="宋体"/>
          <w:b/>
          <w:color w:val="auto"/>
          <w:kern w:val="0"/>
          <w:sz w:val="21"/>
          <w:szCs w:val="21"/>
          <w:highlight w:val="none"/>
        </w:rPr>
      </w:pPr>
      <w:bookmarkStart w:id="29" w:name="_Toc286063241"/>
      <w:bookmarkStart w:id="30" w:name="_Toc247639843"/>
      <w:bookmarkStart w:id="31" w:name="_Toc286069504"/>
      <w:bookmarkStart w:id="32" w:name="_Toc279505602"/>
      <w:bookmarkStart w:id="33" w:name="_Toc360629031"/>
      <w:r>
        <w:rPr>
          <w:rFonts w:hint="eastAsia" w:ascii="宋体" w:hAnsi="宋体" w:eastAsia="宋体" w:cs="宋体"/>
          <w:b/>
          <w:color w:val="auto"/>
          <w:kern w:val="0"/>
          <w:sz w:val="21"/>
          <w:szCs w:val="21"/>
          <w:highlight w:val="none"/>
        </w:rPr>
        <w:t>1.4 投标人资格要求</w:t>
      </w:r>
      <w:bookmarkEnd w:id="29"/>
      <w:bookmarkEnd w:id="30"/>
      <w:bookmarkEnd w:id="31"/>
      <w:bookmarkEnd w:id="32"/>
      <w:bookmarkEnd w:id="33"/>
    </w:p>
    <w:p>
      <w:pPr>
        <w:keepNext w:val="0"/>
        <w:keepLines w:val="0"/>
        <w:pageBreakBefore w:val="0"/>
        <w:widowControl/>
        <w:shd w:val="clear" w:fill="auto"/>
        <w:kinsoku/>
        <w:wordWrap/>
        <w:overflowPunct/>
        <w:topLinePunct w:val="0"/>
        <w:bidi w:val="0"/>
        <w:adjustRightInd/>
        <w:snapToGrid/>
        <w:spacing w:line="430" w:lineRule="exact"/>
        <w:ind w:firstLine="420" w:firstLineChars="200"/>
        <w:jc w:val="left"/>
        <w:textAlignment w:val="auto"/>
        <w:rPr>
          <w:rFonts w:hint="eastAsia" w:ascii="宋体" w:hAnsi="宋体" w:eastAsia="宋体" w:cs="宋体"/>
          <w:color w:val="000000"/>
          <w:kern w:val="0"/>
          <w:sz w:val="21"/>
          <w:szCs w:val="22"/>
          <w:highlight w:val="none"/>
        </w:rPr>
      </w:pPr>
      <w:r>
        <w:rPr>
          <w:rFonts w:hint="eastAsia" w:ascii="宋体" w:hAnsi="宋体" w:eastAsia="宋体" w:cs="宋体"/>
          <w:color w:val="000000"/>
          <w:kern w:val="0"/>
          <w:sz w:val="21"/>
          <w:szCs w:val="22"/>
          <w:highlight w:val="none"/>
        </w:rPr>
        <w:t>1.4.1投标人应具备承担本标段施工的资质条件、能力和信誉。</w:t>
      </w:r>
    </w:p>
    <w:p>
      <w:pPr>
        <w:keepNext w:val="0"/>
        <w:keepLines w:val="0"/>
        <w:pageBreakBefore w:val="0"/>
        <w:widowControl/>
        <w:shd w:val="clear" w:fill="auto"/>
        <w:kinsoku/>
        <w:wordWrap/>
        <w:overflowPunct/>
        <w:topLinePunct w:val="0"/>
        <w:bidi w:val="0"/>
        <w:adjustRightInd/>
        <w:snapToGrid/>
        <w:spacing w:line="430" w:lineRule="exact"/>
        <w:ind w:firstLine="718" w:firstLineChars="342"/>
        <w:jc w:val="left"/>
        <w:textAlignment w:val="auto"/>
        <w:rPr>
          <w:rFonts w:hint="eastAsia" w:ascii="宋体" w:hAnsi="宋体" w:eastAsia="宋体" w:cs="宋体"/>
          <w:color w:val="000000"/>
          <w:kern w:val="0"/>
          <w:sz w:val="21"/>
          <w:szCs w:val="22"/>
          <w:highlight w:val="none"/>
        </w:rPr>
      </w:pPr>
      <w:r>
        <w:rPr>
          <w:rFonts w:hint="eastAsia" w:ascii="宋体" w:hAnsi="宋体" w:eastAsia="宋体" w:cs="宋体"/>
          <w:color w:val="000000"/>
          <w:kern w:val="0"/>
          <w:sz w:val="21"/>
          <w:szCs w:val="22"/>
          <w:highlight w:val="none"/>
        </w:rPr>
        <w:t>（1）资质条件：见投标人须知前附表；</w:t>
      </w:r>
    </w:p>
    <w:p>
      <w:pPr>
        <w:keepNext w:val="0"/>
        <w:keepLines w:val="0"/>
        <w:pageBreakBefore w:val="0"/>
        <w:widowControl/>
        <w:shd w:val="clear" w:fill="auto"/>
        <w:kinsoku/>
        <w:wordWrap/>
        <w:overflowPunct/>
        <w:topLinePunct w:val="0"/>
        <w:bidi w:val="0"/>
        <w:adjustRightInd/>
        <w:snapToGrid/>
        <w:spacing w:line="430" w:lineRule="exact"/>
        <w:ind w:firstLine="718" w:firstLineChars="342"/>
        <w:jc w:val="left"/>
        <w:textAlignment w:val="auto"/>
        <w:rPr>
          <w:rFonts w:hint="eastAsia" w:ascii="宋体" w:hAnsi="宋体" w:eastAsia="宋体" w:cs="宋体"/>
          <w:color w:val="000000"/>
          <w:kern w:val="0"/>
          <w:sz w:val="21"/>
          <w:szCs w:val="22"/>
          <w:highlight w:val="none"/>
        </w:rPr>
      </w:pPr>
      <w:r>
        <w:rPr>
          <w:rFonts w:hint="eastAsia" w:ascii="宋体" w:hAnsi="宋体" w:eastAsia="宋体" w:cs="宋体"/>
          <w:color w:val="000000"/>
          <w:kern w:val="0"/>
          <w:sz w:val="21"/>
          <w:szCs w:val="22"/>
          <w:highlight w:val="none"/>
        </w:rPr>
        <w:t>（2）</w:t>
      </w:r>
      <w:r>
        <w:rPr>
          <w:rFonts w:hint="eastAsia" w:ascii="宋体" w:hAnsi="宋体" w:cs="宋体"/>
          <w:color w:val="000000"/>
          <w:kern w:val="0"/>
          <w:sz w:val="21"/>
          <w:szCs w:val="22"/>
          <w:highlight w:val="none"/>
          <w:lang w:val="en-US" w:eastAsia="zh-CN"/>
        </w:rPr>
        <w:t>项目负责人要求</w:t>
      </w:r>
      <w:r>
        <w:rPr>
          <w:rFonts w:hint="eastAsia" w:ascii="宋体" w:hAnsi="宋体" w:eastAsia="宋体" w:cs="宋体"/>
          <w:color w:val="000000"/>
          <w:kern w:val="0"/>
          <w:sz w:val="21"/>
          <w:szCs w:val="22"/>
          <w:highlight w:val="none"/>
        </w:rPr>
        <w:t>：见投标人须知前附表；</w:t>
      </w:r>
    </w:p>
    <w:p>
      <w:pPr>
        <w:keepNext w:val="0"/>
        <w:keepLines w:val="0"/>
        <w:pageBreakBefore w:val="0"/>
        <w:widowControl/>
        <w:shd w:val="clear" w:fill="auto"/>
        <w:kinsoku/>
        <w:wordWrap/>
        <w:overflowPunct/>
        <w:topLinePunct w:val="0"/>
        <w:bidi w:val="0"/>
        <w:adjustRightInd/>
        <w:snapToGrid/>
        <w:spacing w:line="430" w:lineRule="exact"/>
        <w:ind w:firstLine="735" w:firstLineChars="350"/>
        <w:jc w:val="left"/>
        <w:textAlignment w:val="auto"/>
        <w:rPr>
          <w:rFonts w:hint="eastAsia" w:ascii="宋体" w:hAnsi="宋体" w:eastAsia="宋体" w:cs="宋体"/>
          <w:color w:val="000000"/>
          <w:kern w:val="0"/>
          <w:sz w:val="21"/>
          <w:szCs w:val="22"/>
          <w:highlight w:val="none"/>
        </w:rPr>
      </w:pPr>
      <w:r>
        <w:rPr>
          <w:rFonts w:hint="eastAsia" w:ascii="宋体" w:hAnsi="宋体" w:eastAsia="宋体" w:cs="宋体"/>
          <w:color w:val="000000"/>
          <w:kern w:val="0"/>
          <w:sz w:val="21"/>
          <w:szCs w:val="22"/>
          <w:highlight w:val="none"/>
        </w:rPr>
        <w:t>（3）</w:t>
      </w:r>
      <w:r>
        <w:rPr>
          <w:rFonts w:hint="eastAsia" w:ascii="宋体" w:hAnsi="宋体" w:cs="宋体"/>
          <w:color w:val="000000"/>
          <w:kern w:val="0"/>
          <w:sz w:val="21"/>
          <w:szCs w:val="22"/>
          <w:highlight w:val="none"/>
          <w:lang w:val="en-US" w:eastAsia="zh-CN"/>
        </w:rPr>
        <w:t>业绩</w:t>
      </w:r>
      <w:r>
        <w:rPr>
          <w:rFonts w:hint="eastAsia" w:ascii="宋体" w:hAnsi="宋体" w:eastAsia="宋体" w:cs="宋体"/>
          <w:color w:val="000000"/>
          <w:kern w:val="0"/>
          <w:sz w:val="21"/>
          <w:szCs w:val="22"/>
          <w:highlight w:val="none"/>
          <w:lang w:eastAsia="zh-CN"/>
        </w:rPr>
        <w:t>要求</w:t>
      </w:r>
      <w:r>
        <w:rPr>
          <w:rFonts w:hint="eastAsia" w:ascii="宋体" w:hAnsi="宋体" w:eastAsia="宋体" w:cs="宋体"/>
          <w:color w:val="000000"/>
          <w:kern w:val="0"/>
          <w:sz w:val="21"/>
          <w:szCs w:val="22"/>
          <w:highlight w:val="none"/>
        </w:rPr>
        <w:t>：见投标人须知前附表；</w:t>
      </w:r>
    </w:p>
    <w:p>
      <w:pPr>
        <w:keepNext w:val="0"/>
        <w:keepLines w:val="0"/>
        <w:pageBreakBefore w:val="0"/>
        <w:widowControl/>
        <w:shd w:val="clear" w:fill="auto"/>
        <w:kinsoku/>
        <w:wordWrap/>
        <w:overflowPunct/>
        <w:topLinePunct w:val="0"/>
        <w:bidi w:val="0"/>
        <w:adjustRightInd/>
        <w:snapToGrid/>
        <w:spacing w:line="430" w:lineRule="exact"/>
        <w:ind w:firstLine="735" w:firstLineChars="350"/>
        <w:jc w:val="left"/>
        <w:textAlignment w:val="auto"/>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2"/>
          <w:highlight w:val="none"/>
        </w:rPr>
        <w:t>（4）财务要求：见投标人须知前附表；</w:t>
      </w:r>
    </w:p>
    <w:p>
      <w:pPr>
        <w:keepNext w:val="0"/>
        <w:keepLines w:val="0"/>
        <w:pageBreakBefore w:val="0"/>
        <w:widowControl/>
        <w:shd w:val="clear" w:fill="auto"/>
        <w:kinsoku/>
        <w:wordWrap/>
        <w:overflowPunct/>
        <w:topLinePunct w:val="0"/>
        <w:bidi w:val="0"/>
        <w:adjustRightInd/>
        <w:snapToGrid/>
        <w:spacing w:line="430" w:lineRule="exact"/>
        <w:ind w:firstLine="718" w:firstLineChars="342"/>
        <w:jc w:val="left"/>
        <w:textAlignment w:val="auto"/>
        <w:rPr>
          <w:rFonts w:hint="eastAsia" w:ascii="宋体" w:hAnsi="宋体" w:eastAsia="宋体" w:cs="宋体"/>
          <w:color w:val="000000"/>
          <w:kern w:val="0"/>
          <w:sz w:val="21"/>
          <w:szCs w:val="22"/>
          <w:highlight w:val="none"/>
        </w:rPr>
      </w:pPr>
      <w:r>
        <w:rPr>
          <w:rFonts w:hint="eastAsia" w:ascii="宋体" w:hAnsi="宋体" w:eastAsia="宋体" w:cs="宋体"/>
          <w:color w:val="000000"/>
          <w:kern w:val="0"/>
          <w:sz w:val="21"/>
          <w:szCs w:val="22"/>
          <w:highlight w:val="none"/>
        </w:rPr>
        <w:t>（5）信誉要求：见投标人须知前附表；</w:t>
      </w:r>
    </w:p>
    <w:p>
      <w:pPr>
        <w:keepNext w:val="0"/>
        <w:keepLines w:val="0"/>
        <w:pageBreakBefore w:val="0"/>
        <w:widowControl/>
        <w:shd w:val="clear" w:fill="auto"/>
        <w:kinsoku/>
        <w:wordWrap/>
        <w:overflowPunct/>
        <w:topLinePunct w:val="0"/>
        <w:bidi w:val="0"/>
        <w:adjustRightInd/>
        <w:snapToGrid/>
        <w:spacing w:line="430" w:lineRule="exact"/>
        <w:ind w:firstLine="718" w:firstLineChars="342"/>
        <w:jc w:val="left"/>
        <w:textAlignment w:val="auto"/>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2"/>
          <w:highlight w:val="none"/>
        </w:rPr>
        <w:t>（6）其他要求：见投标人须知前附表。</w:t>
      </w:r>
    </w:p>
    <w:p>
      <w:pPr>
        <w:keepNext w:val="0"/>
        <w:keepLines w:val="0"/>
        <w:pageBreakBefore w:val="0"/>
        <w:widowControl/>
        <w:shd w:val="clear" w:fill="auto"/>
        <w:kinsoku/>
        <w:wordWrap/>
        <w:overflowPunct/>
        <w:topLinePunct w:val="0"/>
        <w:bidi w:val="0"/>
        <w:adjustRightInd/>
        <w:snapToGrid/>
        <w:spacing w:line="430" w:lineRule="exact"/>
        <w:ind w:firstLine="420" w:firstLineChars="200"/>
        <w:jc w:val="left"/>
        <w:textAlignment w:val="auto"/>
        <w:rPr>
          <w:rFonts w:hint="eastAsia" w:ascii="宋体" w:hAnsi="宋体" w:eastAsia="宋体" w:cs="宋体"/>
          <w:color w:val="000000"/>
          <w:kern w:val="0"/>
          <w:sz w:val="21"/>
          <w:szCs w:val="22"/>
          <w:highlight w:val="none"/>
        </w:rPr>
      </w:pPr>
      <w:r>
        <w:rPr>
          <w:rFonts w:hint="eastAsia" w:ascii="宋体" w:hAnsi="宋体" w:eastAsia="宋体" w:cs="宋体"/>
          <w:color w:val="000000"/>
          <w:kern w:val="0"/>
          <w:sz w:val="21"/>
          <w:szCs w:val="22"/>
          <w:highlight w:val="none"/>
        </w:rPr>
        <w:t xml:space="preserve">1.4.2 投标人须知前附表规定接受联合体投标的，除应符合本章第1.4.1项和投标人须知前附表的要求外，还应遵守以下规定： </w:t>
      </w:r>
    </w:p>
    <w:p>
      <w:pPr>
        <w:keepNext w:val="0"/>
        <w:keepLines w:val="0"/>
        <w:pageBreakBefore w:val="0"/>
        <w:widowControl/>
        <w:shd w:val="clear" w:fill="auto"/>
        <w:kinsoku/>
        <w:wordWrap/>
        <w:overflowPunct/>
        <w:topLinePunct w:val="0"/>
        <w:bidi w:val="0"/>
        <w:adjustRightInd/>
        <w:snapToGrid/>
        <w:spacing w:line="430" w:lineRule="exact"/>
        <w:ind w:firstLine="420" w:firstLineChars="200"/>
        <w:jc w:val="left"/>
        <w:textAlignment w:val="auto"/>
        <w:rPr>
          <w:rFonts w:hint="eastAsia" w:ascii="宋体" w:hAnsi="宋体" w:eastAsia="宋体" w:cs="宋体"/>
          <w:color w:val="000000"/>
          <w:kern w:val="0"/>
          <w:sz w:val="21"/>
          <w:szCs w:val="22"/>
          <w:highlight w:val="none"/>
        </w:rPr>
      </w:pPr>
      <w:r>
        <w:rPr>
          <w:rFonts w:hint="eastAsia" w:ascii="宋体" w:hAnsi="宋体" w:eastAsia="宋体" w:cs="宋体"/>
          <w:color w:val="000000"/>
          <w:kern w:val="0"/>
          <w:sz w:val="21"/>
          <w:szCs w:val="22"/>
          <w:highlight w:val="none"/>
        </w:rPr>
        <w:t>（1）联合体各方应按招标文件提供的格式签订联合体协议书，明确联合体牵头人和各方权利义务；</w:t>
      </w:r>
    </w:p>
    <w:p>
      <w:pPr>
        <w:keepNext w:val="0"/>
        <w:keepLines w:val="0"/>
        <w:pageBreakBefore w:val="0"/>
        <w:widowControl/>
        <w:shd w:val="clear" w:fill="auto"/>
        <w:kinsoku/>
        <w:wordWrap/>
        <w:overflowPunct/>
        <w:topLinePunct w:val="0"/>
        <w:bidi w:val="0"/>
        <w:adjustRightInd/>
        <w:snapToGrid/>
        <w:spacing w:line="430" w:lineRule="exact"/>
        <w:ind w:firstLine="420" w:firstLineChars="200"/>
        <w:jc w:val="left"/>
        <w:textAlignment w:val="auto"/>
        <w:rPr>
          <w:rFonts w:hint="eastAsia" w:ascii="宋体" w:hAnsi="宋体" w:eastAsia="宋体" w:cs="宋体"/>
          <w:color w:val="000000"/>
          <w:kern w:val="0"/>
          <w:sz w:val="21"/>
          <w:szCs w:val="22"/>
          <w:highlight w:val="none"/>
        </w:rPr>
      </w:pPr>
      <w:r>
        <w:rPr>
          <w:rFonts w:hint="eastAsia" w:ascii="宋体" w:hAnsi="宋体" w:eastAsia="宋体" w:cs="宋体"/>
          <w:color w:val="000000"/>
          <w:kern w:val="0"/>
          <w:sz w:val="21"/>
          <w:szCs w:val="22"/>
          <w:highlight w:val="none"/>
        </w:rPr>
        <w:t xml:space="preserve">（2）由同一专业的单位组成的联合体，按照资质等级较低的单位确定资质等级； </w:t>
      </w:r>
    </w:p>
    <w:p>
      <w:pPr>
        <w:keepNext w:val="0"/>
        <w:keepLines w:val="0"/>
        <w:pageBreakBefore w:val="0"/>
        <w:widowControl/>
        <w:shd w:val="clear" w:fill="auto"/>
        <w:kinsoku/>
        <w:wordWrap/>
        <w:overflowPunct/>
        <w:topLinePunct w:val="0"/>
        <w:bidi w:val="0"/>
        <w:adjustRightInd/>
        <w:snapToGrid/>
        <w:spacing w:line="430" w:lineRule="exact"/>
        <w:ind w:firstLine="420" w:firstLineChars="200"/>
        <w:jc w:val="left"/>
        <w:textAlignment w:val="auto"/>
        <w:rPr>
          <w:rFonts w:hint="eastAsia" w:ascii="宋体" w:hAnsi="宋体" w:eastAsia="宋体" w:cs="宋体"/>
          <w:color w:val="000000"/>
          <w:kern w:val="0"/>
          <w:sz w:val="21"/>
          <w:szCs w:val="22"/>
          <w:highlight w:val="none"/>
        </w:rPr>
      </w:pPr>
      <w:r>
        <w:rPr>
          <w:rFonts w:hint="eastAsia" w:ascii="宋体" w:hAnsi="宋体" w:eastAsia="宋体" w:cs="宋体"/>
          <w:color w:val="000000"/>
          <w:kern w:val="0"/>
          <w:sz w:val="21"/>
          <w:szCs w:val="22"/>
          <w:highlight w:val="none"/>
        </w:rPr>
        <w:t>（3）联合体各方不得再以自己名义单独或参加其他联合体在同一标段中投标。</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1.4.3 投标人不得存在下列情形之一：</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840" w:firstLineChars="400"/>
        <w:jc w:val="left"/>
        <w:textAlignment w:val="auto"/>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（1）为招标人不具有独立法人资格的附属机构（单位）；</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840" w:firstLineChars="400"/>
        <w:jc w:val="left"/>
        <w:textAlignment w:val="auto"/>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（2）为本项目前期准备提供设计或咨询服务的，但设计施工总承包的除外；</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840" w:firstLineChars="400"/>
        <w:jc w:val="left"/>
        <w:textAlignment w:val="auto"/>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（3）为本项目的监理人；</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840" w:firstLineChars="400"/>
        <w:jc w:val="left"/>
        <w:textAlignment w:val="auto"/>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（4）为本项目的</w:t>
      </w:r>
      <w:r>
        <w:rPr>
          <w:rFonts w:hint="eastAsia" w:ascii="宋体" w:hAnsi="宋体" w:eastAsia="宋体" w:cs="宋体"/>
          <w:color w:val="auto"/>
          <w:kern w:val="0"/>
          <w:sz w:val="21"/>
          <w:szCs w:val="20"/>
          <w:highlight w:val="none"/>
          <w:lang w:eastAsia="zh-CN"/>
        </w:rPr>
        <w:t>代建单位</w:t>
      </w:r>
      <w:r>
        <w:rPr>
          <w:rFonts w:hint="eastAsia" w:ascii="宋体" w:hAnsi="宋体" w:eastAsia="宋体" w:cs="宋体"/>
          <w:color w:val="auto"/>
          <w:kern w:val="0"/>
          <w:sz w:val="21"/>
          <w:szCs w:val="20"/>
          <w:highlight w:val="none"/>
        </w:rPr>
        <w:t>；</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840" w:firstLineChars="400"/>
        <w:jc w:val="left"/>
        <w:textAlignment w:val="auto"/>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（5）为本项目提供招标代理服务的；</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840" w:firstLineChars="400"/>
        <w:jc w:val="left"/>
        <w:textAlignment w:val="auto"/>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（6）与本项目的监理人或</w:t>
      </w:r>
      <w:r>
        <w:rPr>
          <w:rFonts w:hint="eastAsia" w:ascii="宋体" w:hAnsi="宋体" w:eastAsia="宋体" w:cs="宋体"/>
          <w:color w:val="auto"/>
          <w:kern w:val="0"/>
          <w:sz w:val="21"/>
          <w:szCs w:val="20"/>
          <w:highlight w:val="none"/>
          <w:lang w:eastAsia="zh-CN"/>
        </w:rPr>
        <w:t>代建单位</w:t>
      </w:r>
      <w:r>
        <w:rPr>
          <w:rFonts w:hint="eastAsia" w:ascii="宋体" w:hAnsi="宋体" w:eastAsia="宋体" w:cs="宋体"/>
          <w:color w:val="auto"/>
          <w:kern w:val="0"/>
          <w:sz w:val="21"/>
          <w:szCs w:val="20"/>
          <w:highlight w:val="none"/>
        </w:rPr>
        <w:t>或招标代理机构同为一个法定代表人的；</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840" w:firstLineChars="400"/>
        <w:jc w:val="left"/>
        <w:textAlignment w:val="auto"/>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（7）与本项目的监理人或</w:t>
      </w:r>
      <w:r>
        <w:rPr>
          <w:rFonts w:hint="eastAsia" w:ascii="宋体" w:hAnsi="宋体" w:eastAsia="宋体" w:cs="宋体"/>
          <w:color w:val="auto"/>
          <w:kern w:val="0"/>
          <w:sz w:val="21"/>
          <w:szCs w:val="20"/>
          <w:highlight w:val="none"/>
          <w:lang w:eastAsia="zh-CN"/>
        </w:rPr>
        <w:t>代建单位</w:t>
      </w:r>
      <w:r>
        <w:rPr>
          <w:rFonts w:hint="eastAsia" w:ascii="宋体" w:hAnsi="宋体" w:eastAsia="宋体" w:cs="宋体"/>
          <w:color w:val="auto"/>
          <w:kern w:val="0"/>
          <w:sz w:val="21"/>
          <w:szCs w:val="20"/>
          <w:highlight w:val="none"/>
        </w:rPr>
        <w:t>或招标代理机构相互控股或参股的；</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840" w:firstLineChars="400"/>
        <w:jc w:val="left"/>
        <w:textAlignment w:val="auto"/>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（8）与本项目的监理人或</w:t>
      </w:r>
      <w:r>
        <w:rPr>
          <w:rFonts w:hint="eastAsia" w:ascii="宋体" w:hAnsi="宋体" w:eastAsia="宋体" w:cs="宋体"/>
          <w:color w:val="auto"/>
          <w:kern w:val="0"/>
          <w:sz w:val="21"/>
          <w:szCs w:val="20"/>
          <w:highlight w:val="none"/>
          <w:lang w:eastAsia="zh-CN"/>
        </w:rPr>
        <w:t>代建单位</w:t>
      </w:r>
      <w:r>
        <w:rPr>
          <w:rFonts w:hint="eastAsia" w:ascii="宋体" w:hAnsi="宋体" w:eastAsia="宋体" w:cs="宋体"/>
          <w:color w:val="auto"/>
          <w:kern w:val="0"/>
          <w:sz w:val="21"/>
          <w:szCs w:val="20"/>
          <w:highlight w:val="none"/>
        </w:rPr>
        <w:t>或招标代理机构相互任职或工作的；</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840" w:firstLineChars="400"/>
        <w:jc w:val="left"/>
        <w:textAlignment w:val="auto"/>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（9）被责令停业的；</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840" w:firstLineChars="400"/>
        <w:jc w:val="left"/>
        <w:textAlignment w:val="auto"/>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（10）被暂停或取消投标资格的；</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840" w:firstLineChars="400"/>
        <w:jc w:val="left"/>
        <w:textAlignment w:val="auto"/>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（11）财产被接管或冻结的；</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840" w:firstLineChars="4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（12）在最近三年内有骗取中标或严重违约或重大工程质量问题的。</w:t>
      </w:r>
    </w:p>
    <w:p>
      <w:pPr>
        <w:keepNext w:val="0"/>
        <w:keepLines w:val="0"/>
        <w:pageBreakBefore w:val="0"/>
        <w:widowControl/>
        <w:shd w:val="clear" w:fill="auto"/>
        <w:kinsoku/>
        <w:wordWrap/>
        <w:overflowPunct/>
        <w:topLinePunct w:val="0"/>
        <w:bidi w:val="0"/>
        <w:adjustRightInd/>
        <w:snapToGrid/>
        <w:spacing w:line="430" w:lineRule="exact"/>
        <w:jc w:val="left"/>
        <w:textAlignment w:val="auto"/>
        <w:rPr>
          <w:rFonts w:hint="eastAsia" w:ascii="宋体" w:hAnsi="宋体" w:eastAsia="宋体" w:cs="宋体"/>
          <w:b/>
          <w:color w:val="auto"/>
          <w:kern w:val="0"/>
          <w:sz w:val="21"/>
          <w:szCs w:val="21"/>
          <w:highlight w:val="none"/>
        </w:rPr>
      </w:pPr>
      <w:bookmarkStart w:id="34" w:name="_Toc279505603"/>
      <w:bookmarkStart w:id="35" w:name="_Toc286069505"/>
      <w:bookmarkStart w:id="36" w:name="_Toc360629032"/>
      <w:bookmarkStart w:id="37" w:name="_Toc286063242"/>
      <w:bookmarkStart w:id="38" w:name="_Toc247639844"/>
      <w:r>
        <w:rPr>
          <w:rFonts w:hint="eastAsia" w:ascii="宋体" w:hAnsi="宋体" w:eastAsia="宋体" w:cs="宋体"/>
          <w:b/>
          <w:color w:val="auto"/>
          <w:kern w:val="0"/>
          <w:sz w:val="21"/>
          <w:szCs w:val="21"/>
          <w:highlight w:val="none"/>
        </w:rPr>
        <w:t>1.5 费用承担</w:t>
      </w:r>
      <w:bookmarkEnd w:id="34"/>
      <w:bookmarkEnd w:id="35"/>
      <w:bookmarkEnd w:id="36"/>
      <w:bookmarkEnd w:id="37"/>
      <w:bookmarkEnd w:id="38"/>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投标人准备和参加投标活动发生的费用自理。</w:t>
      </w:r>
    </w:p>
    <w:p>
      <w:pPr>
        <w:keepNext w:val="0"/>
        <w:keepLines w:val="0"/>
        <w:pageBreakBefore w:val="0"/>
        <w:widowControl/>
        <w:shd w:val="clear" w:fill="auto"/>
        <w:kinsoku/>
        <w:wordWrap/>
        <w:overflowPunct/>
        <w:topLinePunct w:val="0"/>
        <w:bidi w:val="0"/>
        <w:adjustRightInd/>
        <w:snapToGrid/>
        <w:spacing w:line="430" w:lineRule="exact"/>
        <w:jc w:val="left"/>
        <w:textAlignment w:val="auto"/>
        <w:rPr>
          <w:rFonts w:hint="eastAsia" w:ascii="宋体" w:hAnsi="宋体" w:eastAsia="宋体" w:cs="宋体"/>
          <w:b/>
          <w:color w:val="auto"/>
          <w:kern w:val="0"/>
          <w:sz w:val="21"/>
          <w:szCs w:val="21"/>
          <w:highlight w:val="none"/>
        </w:rPr>
      </w:pPr>
      <w:bookmarkStart w:id="39" w:name="_Toc286063243"/>
      <w:bookmarkStart w:id="40" w:name="_Toc247639845"/>
      <w:bookmarkStart w:id="41" w:name="_Toc286069506"/>
      <w:bookmarkStart w:id="42" w:name="_Toc279505604"/>
      <w:bookmarkStart w:id="43" w:name="_Toc360629033"/>
      <w:r>
        <w:rPr>
          <w:rFonts w:hint="eastAsia" w:ascii="宋体" w:hAnsi="宋体" w:eastAsia="宋体" w:cs="宋体"/>
          <w:b/>
          <w:color w:val="auto"/>
          <w:kern w:val="0"/>
          <w:sz w:val="21"/>
          <w:szCs w:val="21"/>
          <w:highlight w:val="none"/>
        </w:rPr>
        <w:t>1.6 保密</w:t>
      </w:r>
      <w:bookmarkEnd w:id="39"/>
      <w:bookmarkEnd w:id="40"/>
      <w:bookmarkEnd w:id="41"/>
      <w:bookmarkEnd w:id="42"/>
      <w:bookmarkEnd w:id="43"/>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参与招标投标活动的各方应对招标文件和投标文件中的商业和技术等秘密保密，违者应对由此造成的后果承担法律责任。</w:t>
      </w:r>
    </w:p>
    <w:p>
      <w:pPr>
        <w:keepNext w:val="0"/>
        <w:keepLines w:val="0"/>
        <w:pageBreakBefore w:val="0"/>
        <w:widowControl/>
        <w:shd w:val="clear" w:fill="auto"/>
        <w:kinsoku/>
        <w:wordWrap/>
        <w:overflowPunct/>
        <w:topLinePunct w:val="0"/>
        <w:bidi w:val="0"/>
        <w:adjustRightInd/>
        <w:snapToGrid/>
        <w:spacing w:line="430" w:lineRule="exact"/>
        <w:jc w:val="left"/>
        <w:textAlignment w:val="auto"/>
        <w:rPr>
          <w:rFonts w:hint="eastAsia" w:ascii="宋体" w:hAnsi="宋体" w:eastAsia="宋体" w:cs="宋体"/>
          <w:b/>
          <w:color w:val="auto"/>
          <w:kern w:val="0"/>
          <w:sz w:val="21"/>
          <w:szCs w:val="21"/>
          <w:highlight w:val="none"/>
        </w:rPr>
      </w:pPr>
      <w:bookmarkStart w:id="44" w:name="_Toc360629034"/>
      <w:bookmarkStart w:id="45" w:name="_Toc247639846"/>
      <w:bookmarkStart w:id="46" w:name="_Toc286063244"/>
      <w:bookmarkStart w:id="47" w:name="_Toc279505605"/>
      <w:bookmarkStart w:id="48" w:name="_Toc286069507"/>
      <w:r>
        <w:rPr>
          <w:rFonts w:hint="eastAsia" w:ascii="宋体" w:hAnsi="宋体" w:eastAsia="宋体" w:cs="宋体"/>
          <w:b/>
          <w:color w:val="auto"/>
          <w:kern w:val="0"/>
          <w:sz w:val="21"/>
          <w:szCs w:val="21"/>
          <w:highlight w:val="none"/>
        </w:rPr>
        <w:t>1.7 语言文字</w:t>
      </w:r>
      <w:bookmarkEnd w:id="44"/>
      <w:bookmarkEnd w:id="45"/>
      <w:bookmarkEnd w:id="46"/>
      <w:bookmarkEnd w:id="47"/>
      <w:bookmarkEnd w:id="48"/>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除专用术语外，与招标投标有关的语言均使用中文。必要时专用术语应附有中文注释。</w:t>
      </w:r>
    </w:p>
    <w:p>
      <w:pPr>
        <w:keepNext w:val="0"/>
        <w:keepLines w:val="0"/>
        <w:pageBreakBefore w:val="0"/>
        <w:widowControl/>
        <w:shd w:val="clear" w:fill="auto"/>
        <w:kinsoku/>
        <w:wordWrap/>
        <w:overflowPunct/>
        <w:topLinePunct w:val="0"/>
        <w:bidi w:val="0"/>
        <w:adjustRightInd/>
        <w:snapToGrid/>
        <w:spacing w:line="430" w:lineRule="exact"/>
        <w:jc w:val="left"/>
        <w:textAlignment w:val="auto"/>
        <w:rPr>
          <w:rFonts w:hint="eastAsia" w:ascii="宋体" w:hAnsi="宋体" w:eastAsia="宋体" w:cs="宋体"/>
          <w:b/>
          <w:color w:val="auto"/>
          <w:kern w:val="0"/>
          <w:sz w:val="21"/>
          <w:szCs w:val="21"/>
          <w:highlight w:val="none"/>
        </w:rPr>
      </w:pPr>
      <w:bookmarkStart w:id="49" w:name="_Toc286063245"/>
      <w:bookmarkStart w:id="50" w:name="_Toc286069508"/>
      <w:bookmarkStart w:id="51" w:name="_Toc247639847"/>
      <w:bookmarkStart w:id="52" w:name="_Toc360629035"/>
      <w:bookmarkStart w:id="53" w:name="_Toc279505606"/>
      <w:r>
        <w:rPr>
          <w:rFonts w:hint="eastAsia" w:ascii="宋体" w:hAnsi="宋体" w:eastAsia="宋体" w:cs="宋体"/>
          <w:b/>
          <w:color w:val="auto"/>
          <w:kern w:val="0"/>
          <w:sz w:val="21"/>
          <w:szCs w:val="21"/>
          <w:highlight w:val="none"/>
        </w:rPr>
        <w:t>1.8 计量单位</w:t>
      </w:r>
      <w:bookmarkEnd w:id="49"/>
      <w:bookmarkEnd w:id="50"/>
      <w:bookmarkEnd w:id="51"/>
      <w:bookmarkEnd w:id="52"/>
      <w:bookmarkEnd w:id="53"/>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所有计量均采用中华人民共和国法定计量单位。</w:t>
      </w:r>
    </w:p>
    <w:p>
      <w:pPr>
        <w:keepNext w:val="0"/>
        <w:keepLines w:val="0"/>
        <w:pageBreakBefore w:val="0"/>
        <w:widowControl/>
        <w:shd w:val="clear" w:fill="auto"/>
        <w:kinsoku/>
        <w:wordWrap/>
        <w:overflowPunct/>
        <w:topLinePunct w:val="0"/>
        <w:bidi w:val="0"/>
        <w:adjustRightInd/>
        <w:snapToGrid/>
        <w:spacing w:line="430" w:lineRule="exact"/>
        <w:jc w:val="left"/>
        <w:textAlignment w:val="auto"/>
        <w:rPr>
          <w:rFonts w:hint="eastAsia" w:ascii="宋体" w:hAnsi="宋体" w:eastAsia="宋体" w:cs="宋体"/>
          <w:b/>
          <w:color w:val="auto"/>
          <w:kern w:val="0"/>
          <w:sz w:val="21"/>
          <w:szCs w:val="21"/>
          <w:highlight w:val="none"/>
        </w:rPr>
      </w:pPr>
      <w:bookmarkStart w:id="54" w:name="_Toc28691"/>
      <w:bookmarkStart w:id="55" w:name="_Toc179632556"/>
      <w:bookmarkStart w:id="56" w:name="_Toc152045539"/>
      <w:bookmarkStart w:id="57" w:name="_Toc152042315"/>
      <w:bookmarkStart w:id="58" w:name="_Toc144974507"/>
      <w:r>
        <w:rPr>
          <w:rFonts w:hint="eastAsia" w:ascii="宋体" w:hAnsi="宋体" w:eastAsia="宋体" w:cs="宋体"/>
          <w:b/>
          <w:color w:val="auto"/>
          <w:kern w:val="0"/>
          <w:sz w:val="21"/>
          <w:szCs w:val="21"/>
          <w:highlight w:val="none"/>
        </w:rPr>
        <w:t>1.9 踏勘现场</w:t>
      </w:r>
      <w:bookmarkEnd w:id="54"/>
      <w:bookmarkEnd w:id="55"/>
      <w:bookmarkEnd w:id="56"/>
      <w:bookmarkEnd w:id="57"/>
      <w:bookmarkEnd w:id="58"/>
    </w:p>
    <w:p>
      <w:pPr>
        <w:keepNext w:val="0"/>
        <w:keepLines w:val="0"/>
        <w:pageBreakBefore w:val="0"/>
        <w:widowControl/>
        <w:shd w:val="clear" w:fill="auto"/>
        <w:kinsoku/>
        <w:wordWrap/>
        <w:overflowPunct/>
        <w:topLinePunct w:val="0"/>
        <w:bidi w:val="0"/>
        <w:adjustRightInd/>
        <w:snapToGrid/>
        <w:spacing w:line="430" w:lineRule="exact"/>
        <w:ind w:firstLine="420" w:firstLineChars="200"/>
        <w:jc w:val="left"/>
        <w:textAlignment w:val="auto"/>
        <w:rPr>
          <w:rFonts w:hint="eastAsia" w:ascii="宋体" w:hAnsi="宋体" w:eastAsia="宋体" w:cs="宋体"/>
          <w:color w:val="000000"/>
          <w:kern w:val="0"/>
          <w:sz w:val="21"/>
          <w:szCs w:val="22"/>
          <w:highlight w:val="none"/>
        </w:rPr>
      </w:pPr>
      <w:r>
        <w:rPr>
          <w:rFonts w:hint="eastAsia" w:ascii="宋体" w:hAnsi="宋体" w:eastAsia="宋体" w:cs="宋体"/>
          <w:color w:val="000000"/>
          <w:kern w:val="0"/>
          <w:sz w:val="21"/>
          <w:szCs w:val="22"/>
          <w:highlight w:val="none"/>
        </w:rPr>
        <w:t xml:space="preserve">1.9.1 投标人须知前附表规定组织踏勘现场的，招标人按投标人须知前附表规定的时间、地点组织投标人踏勘项目现场。 </w:t>
      </w:r>
    </w:p>
    <w:p>
      <w:pPr>
        <w:keepNext w:val="0"/>
        <w:keepLines w:val="0"/>
        <w:pageBreakBefore w:val="0"/>
        <w:widowControl/>
        <w:shd w:val="clear" w:fill="auto"/>
        <w:kinsoku/>
        <w:wordWrap/>
        <w:overflowPunct/>
        <w:topLinePunct w:val="0"/>
        <w:bidi w:val="0"/>
        <w:adjustRightInd/>
        <w:snapToGrid/>
        <w:spacing w:line="430" w:lineRule="exact"/>
        <w:ind w:firstLine="420" w:firstLineChars="200"/>
        <w:jc w:val="left"/>
        <w:textAlignment w:val="auto"/>
        <w:rPr>
          <w:rFonts w:hint="eastAsia" w:ascii="宋体" w:hAnsi="宋体" w:eastAsia="宋体" w:cs="宋体"/>
          <w:color w:val="000000"/>
          <w:kern w:val="0"/>
          <w:sz w:val="21"/>
          <w:szCs w:val="22"/>
          <w:highlight w:val="none"/>
        </w:rPr>
      </w:pPr>
      <w:r>
        <w:rPr>
          <w:rFonts w:hint="eastAsia" w:ascii="宋体" w:hAnsi="宋体" w:eastAsia="宋体" w:cs="宋体"/>
          <w:color w:val="000000"/>
          <w:kern w:val="0"/>
          <w:sz w:val="21"/>
          <w:szCs w:val="22"/>
          <w:highlight w:val="none"/>
        </w:rPr>
        <w:t>1.9.2 投标人踏勘现场发生的费用自理。</w:t>
      </w:r>
    </w:p>
    <w:p>
      <w:pPr>
        <w:keepNext w:val="0"/>
        <w:keepLines w:val="0"/>
        <w:pageBreakBefore w:val="0"/>
        <w:widowControl/>
        <w:shd w:val="clear" w:fill="auto"/>
        <w:kinsoku/>
        <w:wordWrap/>
        <w:overflowPunct/>
        <w:topLinePunct w:val="0"/>
        <w:bidi w:val="0"/>
        <w:adjustRightInd/>
        <w:snapToGrid/>
        <w:spacing w:line="430" w:lineRule="exact"/>
        <w:ind w:firstLine="420" w:firstLineChars="200"/>
        <w:jc w:val="left"/>
        <w:textAlignment w:val="auto"/>
        <w:rPr>
          <w:rFonts w:hint="eastAsia" w:ascii="宋体" w:hAnsi="宋体" w:eastAsia="宋体" w:cs="宋体"/>
          <w:color w:val="000000"/>
          <w:kern w:val="0"/>
          <w:sz w:val="21"/>
          <w:szCs w:val="22"/>
          <w:highlight w:val="none"/>
        </w:rPr>
      </w:pPr>
      <w:r>
        <w:rPr>
          <w:rFonts w:hint="eastAsia" w:ascii="宋体" w:hAnsi="宋体" w:eastAsia="宋体" w:cs="宋体"/>
          <w:color w:val="000000"/>
          <w:kern w:val="0"/>
          <w:sz w:val="21"/>
          <w:szCs w:val="22"/>
          <w:highlight w:val="none"/>
        </w:rPr>
        <w:t>1.9.3 除招标人的原因外，投标人自行负责在踏勘现场中所发生的人员伤亡和财产损失。</w:t>
      </w:r>
    </w:p>
    <w:p>
      <w:pPr>
        <w:keepNext w:val="0"/>
        <w:keepLines w:val="0"/>
        <w:pageBreakBefore w:val="0"/>
        <w:widowControl/>
        <w:shd w:val="clear" w:fill="auto"/>
        <w:kinsoku/>
        <w:wordWrap/>
        <w:overflowPunct/>
        <w:topLinePunct w:val="0"/>
        <w:bidi w:val="0"/>
        <w:adjustRightInd/>
        <w:snapToGrid/>
        <w:spacing w:line="430" w:lineRule="exact"/>
        <w:ind w:firstLine="420" w:firstLineChars="200"/>
        <w:jc w:val="left"/>
        <w:textAlignment w:val="auto"/>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1"/>
          <w:szCs w:val="22"/>
          <w:highlight w:val="none"/>
        </w:rPr>
        <w:t>1.9.4 招标人在踏勘现场中介绍的工程场地和相关的周边环境情况，供投标人在编制投标文件时参考，招标人不对投标人据此作出的判断和决策负责。</w:t>
      </w:r>
    </w:p>
    <w:p>
      <w:pPr>
        <w:keepNext w:val="0"/>
        <w:keepLines w:val="0"/>
        <w:pageBreakBefore w:val="0"/>
        <w:widowControl/>
        <w:shd w:val="clear" w:fill="auto"/>
        <w:kinsoku/>
        <w:wordWrap/>
        <w:overflowPunct/>
        <w:topLinePunct w:val="0"/>
        <w:bidi w:val="0"/>
        <w:adjustRightInd/>
        <w:snapToGrid/>
        <w:spacing w:line="430" w:lineRule="exact"/>
        <w:jc w:val="left"/>
        <w:textAlignment w:val="auto"/>
        <w:rPr>
          <w:rFonts w:hint="eastAsia" w:ascii="宋体" w:hAnsi="宋体" w:eastAsia="宋体" w:cs="宋体"/>
          <w:b/>
          <w:color w:val="auto"/>
          <w:kern w:val="0"/>
          <w:sz w:val="21"/>
          <w:szCs w:val="21"/>
          <w:highlight w:val="none"/>
        </w:rPr>
      </w:pPr>
      <w:bookmarkStart w:id="59" w:name="_Toc286063247"/>
      <w:bookmarkStart w:id="60" w:name="_Toc360629038"/>
      <w:bookmarkStart w:id="61" w:name="_Toc286069510"/>
      <w:bookmarkStart w:id="62" w:name="_Toc279505608"/>
      <w:bookmarkStart w:id="63" w:name="_Toc247639849"/>
      <w:r>
        <w:rPr>
          <w:rFonts w:hint="eastAsia" w:ascii="宋体" w:hAnsi="宋体" w:eastAsia="宋体" w:cs="宋体"/>
          <w:b/>
          <w:color w:val="auto"/>
          <w:kern w:val="0"/>
          <w:sz w:val="21"/>
          <w:szCs w:val="21"/>
          <w:highlight w:val="none"/>
        </w:rPr>
        <w:t>1.10 投标预备会</w:t>
      </w:r>
      <w:bookmarkEnd w:id="59"/>
      <w:bookmarkEnd w:id="60"/>
      <w:bookmarkEnd w:id="61"/>
      <w:bookmarkEnd w:id="62"/>
      <w:bookmarkEnd w:id="63"/>
    </w:p>
    <w:p>
      <w:pPr>
        <w:keepNext w:val="0"/>
        <w:keepLines w:val="0"/>
        <w:pageBreakBefore w:val="0"/>
        <w:widowControl/>
        <w:shd w:val="clear" w:fill="auto"/>
        <w:tabs>
          <w:tab w:val="left" w:pos="1054"/>
        </w:tabs>
        <w:kinsoku/>
        <w:wordWrap/>
        <w:overflowPunct/>
        <w:topLinePunct w:val="0"/>
        <w:autoSpaceDE/>
        <w:autoSpaceDN/>
        <w:bidi w:val="0"/>
        <w:adjustRightInd/>
        <w:snapToGrid/>
        <w:spacing w:line="430" w:lineRule="exact"/>
        <w:ind w:firstLine="420" w:firstLineChars="200"/>
        <w:jc w:val="both"/>
        <w:textAlignment w:val="auto"/>
        <w:rPr>
          <w:rFonts w:hint="eastAsia" w:ascii="宋体" w:hAnsi="宋体" w:eastAsia="宋体" w:cs="宋体"/>
          <w:kern w:val="0"/>
          <w:sz w:val="21"/>
          <w:szCs w:val="21"/>
          <w:highlight w:val="none"/>
        </w:rPr>
      </w:pPr>
      <w:bookmarkStart w:id="64" w:name="_Toc279505610"/>
      <w:bookmarkStart w:id="65" w:name="_Toc286063249"/>
      <w:bookmarkStart w:id="66" w:name="_Toc360629039"/>
      <w:bookmarkStart w:id="67" w:name="_Toc247639851"/>
      <w:bookmarkStart w:id="68" w:name="_Toc286069512"/>
      <w:r>
        <w:rPr>
          <w:rFonts w:hint="eastAsia" w:ascii="宋体" w:hAnsi="宋体" w:eastAsia="宋体" w:cs="宋体"/>
          <w:kern w:val="0"/>
          <w:sz w:val="21"/>
          <w:szCs w:val="21"/>
          <w:highlight w:val="none"/>
        </w:rPr>
        <w:t>1.10.1投标人须知前附表规定召开投标预备会的，招标人按投标人须知前附表规定的时间和地点召开投标预备会，澄清投标人提出的问题。</w:t>
      </w:r>
    </w:p>
    <w:p>
      <w:pPr>
        <w:keepNext w:val="0"/>
        <w:keepLines w:val="0"/>
        <w:pageBreakBefore w:val="0"/>
        <w:widowControl/>
        <w:shd w:val="clear" w:fill="auto"/>
        <w:tabs>
          <w:tab w:val="left" w:pos="1054"/>
        </w:tabs>
        <w:kinsoku/>
        <w:wordWrap/>
        <w:overflowPunct/>
        <w:topLinePunct w:val="0"/>
        <w:autoSpaceDE/>
        <w:autoSpaceDN/>
        <w:bidi w:val="0"/>
        <w:adjustRightInd/>
        <w:snapToGrid/>
        <w:spacing w:line="430" w:lineRule="exact"/>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1.10.2投标人应按投标人须知前附表规定的时间和形式将提出的问题送达招标人，以便招标人在会议期间澄清。</w:t>
      </w:r>
    </w:p>
    <w:p>
      <w:pPr>
        <w:keepNext w:val="0"/>
        <w:keepLines w:val="0"/>
        <w:pageBreakBefore w:val="0"/>
        <w:widowControl/>
        <w:shd w:val="clear" w:fill="auto"/>
        <w:kinsoku/>
        <w:wordWrap/>
        <w:overflowPunct/>
        <w:topLinePunct w:val="0"/>
        <w:bidi w:val="0"/>
        <w:adjustRightInd/>
        <w:snapToGrid/>
        <w:spacing w:line="430" w:lineRule="exact"/>
        <w:ind w:firstLine="420" w:firstLineChars="200"/>
        <w:jc w:val="left"/>
        <w:textAlignment w:val="auto"/>
        <w:rPr>
          <w:rFonts w:hint="eastAsia" w:ascii="宋体" w:hAnsi="宋体" w:eastAsia="宋体" w:cs="宋体"/>
          <w:kern w:val="0"/>
          <w:sz w:val="20"/>
          <w:szCs w:val="21"/>
          <w:highlight w:val="none"/>
        </w:rPr>
      </w:pPr>
      <w:r>
        <w:rPr>
          <w:rFonts w:hint="eastAsia" w:ascii="宋体" w:hAnsi="宋体" w:eastAsia="宋体" w:cs="宋体"/>
          <w:kern w:val="0"/>
          <w:sz w:val="21"/>
          <w:szCs w:val="21"/>
          <w:highlight w:val="none"/>
        </w:rPr>
        <w:t>1.10.3投标预备会后，招标人将对投标人所提问题的澄清，以投标人须知前附表规定的形式通知所有购买招标文件的投标人。该澄清内容为招标文件的组成部分。</w:t>
      </w:r>
    </w:p>
    <w:p>
      <w:pPr>
        <w:keepNext w:val="0"/>
        <w:keepLines w:val="0"/>
        <w:pageBreakBefore w:val="0"/>
        <w:widowControl/>
        <w:shd w:val="clear" w:fill="auto"/>
        <w:kinsoku/>
        <w:wordWrap/>
        <w:overflowPunct/>
        <w:topLinePunct w:val="0"/>
        <w:bidi w:val="0"/>
        <w:adjustRightInd/>
        <w:snapToGrid/>
        <w:spacing w:line="430" w:lineRule="exact"/>
        <w:jc w:val="left"/>
        <w:textAlignment w:val="auto"/>
        <w:rPr>
          <w:rFonts w:hint="eastAsia" w:ascii="宋体" w:hAnsi="宋体" w:eastAsia="宋体" w:cs="宋体"/>
          <w:b/>
          <w:kern w:val="0"/>
          <w:sz w:val="21"/>
          <w:szCs w:val="22"/>
          <w:highlight w:val="none"/>
        </w:rPr>
      </w:pPr>
      <w:r>
        <w:rPr>
          <w:rFonts w:hint="eastAsia" w:ascii="宋体" w:hAnsi="宋体" w:eastAsia="宋体" w:cs="宋体"/>
          <w:b/>
          <w:kern w:val="0"/>
          <w:sz w:val="21"/>
          <w:szCs w:val="22"/>
          <w:highlight w:val="none"/>
        </w:rPr>
        <w:t>1.11分包</w:t>
      </w:r>
    </w:p>
    <w:p>
      <w:pPr>
        <w:keepNext w:val="0"/>
        <w:keepLines w:val="0"/>
        <w:pageBreakBefore w:val="0"/>
        <w:widowControl/>
        <w:shd w:val="clear" w:fill="auto"/>
        <w:kinsoku/>
        <w:wordWrap/>
        <w:overflowPunct/>
        <w:topLinePunct w:val="0"/>
        <w:bidi w:val="0"/>
        <w:adjustRightInd/>
        <w:snapToGrid/>
        <w:spacing w:line="430" w:lineRule="exact"/>
        <w:ind w:firstLine="567" w:firstLineChars="270"/>
        <w:jc w:val="left"/>
        <w:textAlignment w:val="auto"/>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1"/>
          <w:szCs w:val="22"/>
          <w:highlight w:val="none"/>
        </w:rPr>
        <w:t>投标人拟在中标后将中标项目的部分非主体、非关键性工作进行分包的，应符合投标人须知前附表规定的分包内容、分包金额和接受分包的第三人资质要求等限制性条件。</w:t>
      </w:r>
    </w:p>
    <w:p>
      <w:pPr>
        <w:keepNext w:val="0"/>
        <w:keepLines w:val="0"/>
        <w:pageBreakBefore w:val="0"/>
        <w:widowControl/>
        <w:shd w:val="clear" w:fill="auto"/>
        <w:kinsoku/>
        <w:wordWrap/>
        <w:overflowPunct/>
        <w:topLinePunct w:val="0"/>
        <w:bidi w:val="0"/>
        <w:adjustRightInd/>
        <w:snapToGrid/>
        <w:spacing w:line="43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1.1</w:t>
      </w:r>
      <w:r>
        <w:rPr>
          <w:rFonts w:hint="eastAsia" w:ascii="宋体" w:hAnsi="宋体" w:eastAsia="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rPr>
        <w:t>偏离</w:t>
      </w:r>
      <w:bookmarkEnd w:id="64"/>
      <w:bookmarkEnd w:id="65"/>
      <w:bookmarkEnd w:id="66"/>
      <w:bookmarkEnd w:id="67"/>
      <w:bookmarkEnd w:id="68"/>
    </w:p>
    <w:p>
      <w:pPr>
        <w:keepNext w:val="0"/>
        <w:keepLines w:val="0"/>
        <w:pageBreakBefore w:val="0"/>
        <w:widowControl/>
        <w:shd w:val="clear" w:fill="auto"/>
        <w:kinsoku/>
        <w:wordWrap/>
        <w:overflowPunct/>
        <w:topLinePunct w:val="0"/>
        <w:bidi w:val="0"/>
        <w:adjustRightInd/>
        <w:snapToGrid/>
        <w:spacing w:line="430" w:lineRule="exact"/>
        <w:ind w:firstLine="359" w:firstLineChars="171"/>
        <w:jc w:val="left"/>
        <w:textAlignment w:val="auto"/>
        <w:rPr>
          <w:rFonts w:hint="eastAsia" w:ascii="宋体" w:hAnsi="宋体" w:eastAsia="宋体" w:cs="宋体"/>
          <w:color w:val="000000"/>
          <w:kern w:val="0"/>
          <w:sz w:val="20"/>
          <w:szCs w:val="21"/>
          <w:highlight w:val="none"/>
        </w:rPr>
      </w:pPr>
      <w:bookmarkStart w:id="69" w:name="_Toc360629040"/>
      <w:bookmarkStart w:id="70" w:name="_Toc247639852"/>
      <w:bookmarkStart w:id="71" w:name="_Toc7699"/>
      <w:bookmarkStart w:id="72" w:name="_Toc23181"/>
      <w:bookmarkStart w:id="73" w:name="_Toc486931296"/>
      <w:r>
        <w:rPr>
          <w:rFonts w:hint="eastAsia" w:ascii="宋体" w:hAnsi="宋体" w:eastAsia="宋体" w:cs="宋体"/>
          <w:color w:val="000000"/>
          <w:kern w:val="0"/>
          <w:sz w:val="21"/>
          <w:szCs w:val="22"/>
          <w:highlight w:val="none"/>
        </w:rPr>
        <w:t>投标人须知前附表允许投标文件偏离招标文件某些要求的，偏离应当符合招标文件规定的偏离范围和幅度。</w:t>
      </w:r>
    </w:p>
    <w:p>
      <w:pPr>
        <w:keepNext w:val="0"/>
        <w:keepLines w:val="0"/>
        <w:pageBreakBefore w:val="0"/>
        <w:widowControl/>
        <w:shd w:val="clear" w:fill="auto"/>
        <w:kinsoku/>
        <w:wordWrap/>
        <w:overflowPunct/>
        <w:topLinePunct w:val="0"/>
        <w:autoSpaceDN w:val="0"/>
        <w:bidi w:val="0"/>
        <w:adjustRightInd/>
        <w:snapToGrid/>
        <w:spacing w:line="430" w:lineRule="exact"/>
        <w:jc w:val="both"/>
        <w:textAlignment w:val="auto"/>
        <w:outlineLvl w:val="1"/>
        <w:rPr>
          <w:rFonts w:hint="eastAsia" w:ascii="宋体" w:hAnsi="宋体" w:eastAsia="宋体" w:cs="宋体"/>
          <w:b/>
          <w:color w:val="auto"/>
          <w:kern w:val="0"/>
          <w:sz w:val="21"/>
          <w:szCs w:val="21"/>
          <w:highlight w:val="none"/>
        </w:rPr>
      </w:pPr>
      <w:bookmarkStart w:id="74" w:name="_Toc15698"/>
      <w:bookmarkStart w:id="75" w:name="_Toc16514"/>
      <w:bookmarkStart w:id="76" w:name="_Toc9235"/>
      <w:bookmarkStart w:id="77" w:name="_Toc14825"/>
      <w:bookmarkStart w:id="78" w:name="_Toc2293"/>
      <w:r>
        <w:rPr>
          <w:rFonts w:hint="eastAsia" w:ascii="宋体" w:hAnsi="宋体" w:eastAsia="宋体" w:cs="宋体"/>
          <w:b/>
          <w:color w:val="auto"/>
          <w:kern w:val="0"/>
          <w:sz w:val="21"/>
          <w:szCs w:val="21"/>
          <w:highlight w:val="none"/>
        </w:rPr>
        <w:t>2. 招标文件</w:t>
      </w:r>
      <w:bookmarkEnd w:id="69"/>
      <w:bookmarkEnd w:id="70"/>
      <w:bookmarkEnd w:id="71"/>
      <w:bookmarkEnd w:id="72"/>
      <w:bookmarkEnd w:id="73"/>
      <w:bookmarkEnd w:id="74"/>
      <w:bookmarkEnd w:id="75"/>
      <w:bookmarkEnd w:id="76"/>
      <w:bookmarkEnd w:id="77"/>
      <w:bookmarkEnd w:id="78"/>
    </w:p>
    <w:p>
      <w:pPr>
        <w:keepNext w:val="0"/>
        <w:keepLines w:val="0"/>
        <w:pageBreakBefore w:val="0"/>
        <w:widowControl/>
        <w:shd w:val="clear" w:fill="auto"/>
        <w:kinsoku/>
        <w:wordWrap/>
        <w:overflowPunct/>
        <w:topLinePunct w:val="0"/>
        <w:bidi w:val="0"/>
        <w:adjustRightInd/>
        <w:snapToGrid/>
        <w:spacing w:line="430" w:lineRule="exact"/>
        <w:jc w:val="left"/>
        <w:textAlignment w:val="auto"/>
        <w:rPr>
          <w:rFonts w:hint="eastAsia" w:ascii="宋体" w:hAnsi="宋体" w:eastAsia="宋体" w:cs="宋体"/>
          <w:b/>
          <w:color w:val="auto"/>
          <w:kern w:val="0"/>
          <w:sz w:val="21"/>
          <w:szCs w:val="21"/>
          <w:highlight w:val="none"/>
        </w:rPr>
      </w:pPr>
      <w:bookmarkStart w:id="79" w:name="_Toc286069514"/>
      <w:bookmarkStart w:id="80" w:name="_Toc279505612"/>
      <w:bookmarkStart w:id="81" w:name="_Toc286063251"/>
      <w:bookmarkStart w:id="82" w:name="_Toc247639853"/>
      <w:bookmarkStart w:id="83" w:name="_Toc360629041"/>
      <w:r>
        <w:rPr>
          <w:rFonts w:hint="eastAsia" w:ascii="宋体" w:hAnsi="宋体" w:eastAsia="宋体" w:cs="宋体"/>
          <w:b/>
          <w:color w:val="auto"/>
          <w:kern w:val="0"/>
          <w:sz w:val="21"/>
          <w:szCs w:val="21"/>
          <w:highlight w:val="none"/>
        </w:rPr>
        <w:t>2.1 招标文件的组成</w:t>
      </w:r>
      <w:bookmarkEnd w:id="79"/>
      <w:bookmarkEnd w:id="80"/>
      <w:bookmarkEnd w:id="81"/>
      <w:bookmarkEnd w:id="82"/>
      <w:bookmarkEnd w:id="83"/>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0"/>
          <w:highlight w:val="none"/>
        </w:rPr>
      </w:pPr>
      <w:bookmarkStart w:id="84" w:name="_Toc279505613"/>
      <w:bookmarkStart w:id="85" w:name="_Toc247639854"/>
      <w:r>
        <w:rPr>
          <w:rFonts w:hint="eastAsia" w:ascii="宋体" w:hAnsi="宋体" w:eastAsia="宋体" w:cs="宋体"/>
          <w:color w:val="auto"/>
          <w:kern w:val="0"/>
          <w:sz w:val="21"/>
          <w:szCs w:val="20"/>
          <w:highlight w:val="none"/>
        </w:rPr>
        <w:t>本招标文件包括：</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w:t>
      </w:r>
      <w:r>
        <w:rPr>
          <w:rFonts w:hint="eastAsia" w:ascii="宋体" w:hAnsi="宋体" w:eastAsia="宋体" w:cs="宋体"/>
          <w:color w:val="auto"/>
          <w:kern w:val="0"/>
          <w:sz w:val="21"/>
          <w:szCs w:val="20"/>
          <w:highlight w:val="none"/>
          <w:lang w:eastAsia="zh-CN"/>
        </w:rPr>
        <w:t>招标公告</w:t>
      </w:r>
      <w:r>
        <w:rPr>
          <w:rFonts w:hint="eastAsia" w:ascii="宋体" w:hAnsi="宋体" w:eastAsia="宋体" w:cs="宋体"/>
          <w:color w:val="auto"/>
          <w:kern w:val="0"/>
          <w:sz w:val="21"/>
          <w:szCs w:val="20"/>
          <w:highlight w:val="none"/>
        </w:rPr>
        <w:t xml:space="preserve">； </w:t>
      </w:r>
    </w:p>
    <w:p>
      <w:pPr>
        <w:keepNext w:val="0"/>
        <w:keepLines w:val="0"/>
        <w:pageBreakBefore w:val="0"/>
        <w:widowControl/>
        <w:shd w:val="clear" w:fill="auto"/>
        <w:kinsoku/>
        <w:wordWrap/>
        <w:overflowPunct/>
        <w:topLinePunct w:val="0"/>
        <w:autoSpaceDN w:val="0"/>
        <w:bidi w:val="0"/>
        <w:adjustRightInd/>
        <w:snapToGrid/>
        <w:spacing w:line="430" w:lineRule="exact"/>
        <w:ind w:firstLine="420" w:firstLineChars="200"/>
        <w:jc w:val="both"/>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(2)投标人须知；</w:t>
      </w:r>
    </w:p>
    <w:p>
      <w:pPr>
        <w:keepNext w:val="0"/>
        <w:keepLines w:val="0"/>
        <w:pageBreakBefore w:val="0"/>
        <w:widowControl/>
        <w:shd w:val="clear" w:fill="auto"/>
        <w:kinsoku/>
        <w:wordWrap/>
        <w:overflowPunct/>
        <w:topLinePunct w:val="0"/>
        <w:autoSpaceDN w:val="0"/>
        <w:bidi w:val="0"/>
        <w:adjustRightInd/>
        <w:snapToGrid/>
        <w:spacing w:line="430" w:lineRule="exact"/>
        <w:ind w:firstLine="420" w:firstLineChars="200"/>
        <w:jc w:val="both"/>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(3)评标办法；</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(4）定标方法；</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w:t>
      </w:r>
      <w:r>
        <w:rPr>
          <w:rFonts w:hint="eastAsia" w:ascii="宋体" w:hAnsi="宋体" w:cs="宋体"/>
          <w:color w:val="auto"/>
          <w:kern w:val="0"/>
          <w:sz w:val="21"/>
          <w:szCs w:val="22"/>
          <w:highlight w:val="none"/>
          <w:lang w:val="en-US" w:eastAsia="zh-CN"/>
        </w:rPr>
        <w:t>5</w:t>
      </w:r>
      <w:r>
        <w:rPr>
          <w:rFonts w:hint="eastAsia" w:ascii="宋体" w:hAnsi="宋体" w:eastAsia="宋体" w:cs="宋体"/>
          <w:color w:val="auto"/>
          <w:kern w:val="0"/>
          <w:sz w:val="21"/>
          <w:szCs w:val="22"/>
          <w:highlight w:val="none"/>
        </w:rPr>
        <w:t>)合同条款及格式；</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w:t>
      </w:r>
      <w:r>
        <w:rPr>
          <w:rFonts w:hint="eastAsia" w:ascii="宋体" w:hAnsi="宋体" w:cs="宋体"/>
          <w:color w:val="auto"/>
          <w:kern w:val="0"/>
          <w:sz w:val="21"/>
          <w:szCs w:val="22"/>
          <w:highlight w:val="none"/>
          <w:lang w:val="en-US" w:eastAsia="zh-CN"/>
        </w:rPr>
        <w:t>6</w:t>
      </w:r>
      <w:r>
        <w:rPr>
          <w:rFonts w:hint="eastAsia" w:ascii="宋体" w:hAnsi="宋体" w:eastAsia="宋体" w:cs="宋体"/>
          <w:color w:val="auto"/>
          <w:kern w:val="0"/>
          <w:sz w:val="21"/>
          <w:szCs w:val="22"/>
          <w:highlight w:val="none"/>
        </w:rPr>
        <w:t>）工程量清单（另附）；</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w:t>
      </w:r>
      <w:r>
        <w:rPr>
          <w:rFonts w:hint="eastAsia" w:ascii="宋体" w:hAnsi="宋体" w:cs="宋体"/>
          <w:color w:val="auto"/>
          <w:kern w:val="0"/>
          <w:sz w:val="21"/>
          <w:szCs w:val="22"/>
          <w:highlight w:val="none"/>
          <w:lang w:val="en-US" w:eastAsia="zh-CN"/>
        </w:rPr>
        <w:t>7</w:t>
      </w:r>
      <w:r>
        <w:rPr>
          <w:rFonts w:hint="eastAsia" w:ascii="宋体" w:hAnsi="宋体" w:eastAsia="宋体" w:cs="宋体"/>
          <w:color w:val="auto"/>
          <w:kern w:val="0"/>
          <w:sz w:val="21"/>
          <w:szCs w:val="22"/>
          <w:highlight w:val="none"/>
        </w:rPr>
        <w:t>）图纸（另附）；</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w:t>
      </w:r>
      <w:r>
        <w:rPr>
          <w:rFonts w:hint="eastAsia" w:ascii="宋体" w:hAnsi="宋体" w:cs="宋体"/>
          <w:color w:val="auto"/>
          <w:kern w:val="0"/>
          <w:sz w:val="21"/>
          <w:szCs w:val="22"/>
          <w:highlight w:val="none"/>
          <w:lang w:val="en-US" w:eastAsia="zh-CN"/>
        </w:rPr>
        <w:t>8</w:t>
      </w:r>
      <w:r>
        <w:rPr>
          <w:rFonts w:hint="eastAsia" w:ascii="宋体" w:hAnsi="宋体" w:eastAsia="宋体" w:cs="宋体"/>
          <w:color w:val="auto"/>
          <w:kern w:val="0"/>
          <w:sz w:val="21"/>
          <w:szCs w:val="22"/>
          <w:highlight w:val="none"/>
        </w:rPr>
        <w:t>）技术标准和要求；</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w:t>
      </w:r>
      <w:r>
        <w:rPr>
          <w:rFonts w:hint="eastAsia" w:ascii="宋体" w:hAnsi="宋体" w:cs="宋体"/>
          <w:color w:val="auto"/>
          <w:kern w:val="0"/>
          <w:sz w:val="21"/>
          <w:szCs w:val="22"/>
          <w:highlight w:val="none"/>
          <w:lang w:val="en-US" w:eastAsia="zh-CN"/>
        </w:rPr>
        <w:t>9</w:t>
      </w:r>
      <w:r>
        <w:rPr>
          <w:rFonts w:hint="eastAsia" w:ascii="宋体" w:hAnsi="宋体" w:eastAsia="宋体" w:cs="宋体"/>
          <w:color w:val="auto"/>
          <w:kern w:val="0"/>
          <w:sz w:val="21"/>
          <w:szCs w:val="22"/>
          <w:highlight w:val="none"/>
        </w:rPr>
        <w:t>）投标文件格式；</w:t>
      </w:r>
    </w:p>
    <w:p>
      <w:pPr>
        <w:keepNext w:val="0"/>
        <w:keepLines w:val="0"/>
        <w:pageBreakBefore w:val="0"/>
        <w:widowControl/>
        <w:shd w:val="clear" w:fill="auto"/>
        <w:kinsoku/>
        <w:wordWrap/>
        <w:overflowPunct/>
        <w:topLinePunct w:val="0"/>
        <w:autoSpaceDN w:val="0"/>
        <w:bidi w:val="0"/>
        <w:adjustRightInd/>
        <w:snapToGrid/>
        <w:spacing w:line="430" w:lineRule="exact"/>
        <w:ind w:firstLine="420" w:firstLineChars="200"/>
        <w:jc w:val="both"/>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根据本章第1.10 款、第2.2 款和第2.3 款对招标文件所作的澄清、修改，构成招标文件的组成部分。</w:t>
      </w:r>
    </w:p>
    <w:p>
      <w:pPr>
        <w:keepNext w:val="0"/>
        <w:keepLines w:val="0"/>
        <w:pageBreakBefore w:val="0"/>
        <w:widowControl/>
        <w:shd w:val="clear" w:fill="auto"/>
        <w:kinsoku/>
        <w:wordWrap/>
        <w:overflowPunct/>
        <w:topLinePunct w:val="0"/>
        <w:bidi w:val="0"/>
        <w:adjustRightInd/>
        <w:snapToGrid/>
        <w:spacing w:line="430" w:lineRule="exact"/>
        <w:jc w:val="left"/>
        <w:textAlignment w:val="auto"/>
        <w:rPr>
          <w:rFonts w:hint="eastAsia" w:ascii="宋体" w:hAnsi="宋体" w:eastAsia="宋体" w:cs="宋体"/>
          <w:b/>
          <w:color w:val="auto"/>
          <w:kern w:val="0"/>
          <w:sz w:val="21"/>
          <w:szCs w:val="21"/>
          <w:highlight w:val="none"/>
        </w:rPr>
      </w:pPr>
      <w:bookmarkStart w:id="86" w:name="_Toc286063252"/>
      <w:bookmarkStart w:id="87" w:name="_Toc360629042"/>
      <w:bookmarkStart w:id="88" w:name="_Toc286069515"/>
      <w:r>
        <w:rPr>
          <w:rFonts w:hint="eastAsia" w:ascii="宋体" w:hAnsi="宋体" w:eastAsia="宋体" w:cs="宋体"/>
          <w:b/>
          <w:color w:val="auto"/>
          <w:kern w:val="0"/>
          <w:sz w:val="21"/>
          <w:szCs w:val="21"/>
          <w:highlight w:val="none"/>
        </w:rPr>
        <w:t>2.2 招标文件的澄清</w:t>
      </w:r>
      <w:bookmarkEnd w:id="84"/>
      <w:bookmarkEnd w:id="85"/>
      <w:bookmarkEnd w:id="86"/>
      <w:bookmarkEnd w:id="87"/>
      <w:bookmarkEnd w:id="88"/>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2.2.1 投标人应仔细阅读和检查招标文件的全部内容。如发现缺页或附件不全，应及时向招标人提出，以便补齐。如有疑问，应在投标人须知前附表规定的时间</w:t>
      </w:r>
      <w:r>
        <w:rPr>
          <w:rFonts w:hint="eastAsia" w:ascii="宋体" w:hAnsi="宋体" w:eastAsia="宋体" w:cs="宋体"/>
          <w:color w:val="auto"/>
          <w:kern w:val="0"/>
          <w:sz w:val="21"/>
          <w:szCs w:val="21"/>
          <w:highlight w:val="none"/>
        </w:rPr>
        <w:t>按要求格式发送至</w:t>
      </w:r>
      <w:r>
        <w:rPr>
          <w:rFonts w:hint="eastAsia" w:ascii="宋体" w:hAnsi="宋体" w:eastAsia="宋体" w:cs="宋体"/>
          <w:color w:val="auto"/>
          <w:kern w:val="0"/>
          <w:sz w:val="21"/>
          <w:szCs w:val="21"/>
          <w:highlight w:val="none"/>
          <w:lang w:eastAsia="zh-CN"/>
        </w:rPr>
        <w:t>公共资源交易中心电子招投标系统</w:t>
      </w:r>
      <w:r>
        <w:rPr>
          <w:rFonts w:hint="eastAsia" w:ascii="宋体" w:hAnsi="宋体" w:eastAsia="宋体" w:cs="宋体"/>
          <w:color w:val="auto"/>
          <w:kern w:val="0"/>
          <w:sz w:val="21"/>
          <w:szCs w:val="20"/>
          <w:highlight w:val="none"/>
        </w:rPr>
        <w:t>，要求招标人对招标文件予以澄清。</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2.2.2 招标文件的澄清将在投标人须知前附表规定的投标截止时间15天前</w:t>
      </w:r>
      <w:r>
        <w:rPr>
          <w:rFonts w:hint="eastAsia" w:ascii="宋体" w:hAnsi="宋体" w:eastAsia="宋体" w:cs="宋体"/>
          <w:color w:val="auto"/>
          <w:kern w:val="0"/>
          <w:sz w:val="21"/>
          <w:szCs w:val="21"/>
          <w:highlight w:val="none"/>
        </w:rPr>
        <w:t>按要求格式发送至</w:t>
      </w:r>
      <w:r>
        <w:rPr>
          <w:rFonts w:hint="eastAsia" w:ascii="宋体" w:hAnsi="宋体" w:eastAsia="宋体" w:cs="宋体"/>
          <w:color w:val="auto"/>
          <w:kern w:val="0"/>
          <w:sz w:val="21"/>
          <w:szCs w:val="21"/>
          <w:highlight w:val="none"/>
          <w:lang w:eastAsia="zh-CN"/>
        </w:rPr>
        <w:t>公共资源交易中心电子招投标系统</w:t>
      </w:r>
      <w:r>
        <w:rPr>
          <w:rFonts w:hint="eastAsia" w:ascii="宋体" w:hAnsi="宋体" w:eastAsia="宋体" w:cs="宋体"/>
          <w:color w:val="auto"/>
          <w:kern w:val="0"/>
          <w:sz w:val="21"/>
          <w:szCs w:val="21"/>
          <w:highlight w:val="none"/>
        </w:rPr>
        <w:t>，通知</w:t>
      </w:r>
      <w:r>
        <w:rPr>
          <w:rFonts w:hint="eastAsia" w:ascii="宋体" w:hAnsi="宋体" w:eastAsia="宋体" w:cs="宋体"/>
          <w:color w:val="auto"/>
          <w:kern w:val="0"/>
          <w:sz w:val="21"/>
          <w:szCs w:val="20"/>
          <w:highlight w:val="none"/>
        </w:rPr>
        <w:t>给所有购买招标文件的投标人，但不指明澄清问题的来源。如果澄清发出的时间距投标截止时间不足15天，相应延长投标截止时间。</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2.2.3 投标人在收到澄清后，应在投标人须知前附表规定的时间内以书面形式通知招标人，确认已收到该澄清。</w:t>
      </w:r>
    </w:p>
    <w:p>
      <w:pPr>
        <w:keepNext w:val="0"/>
        <w:keepLines w:val="0"/>
        <w:pageBreakBefore w:val="0"/>
        <w:widowControl/>
        <w:shd w:val="clear" w:fill="auto"/>
        <w:kinsoku/>
        <w:wordWrap/>
        <w:overflowPunct/>
        <w:topLinePunct w:val="0"/>
        <w:bidi w:val="0"/>
        <w:adjustRightInd/>
        <w:snapToGrid/>
        <w:spacing w:line="430" w:lineRule="exact"/>
        <w:jc w:val="left"/>
        <w:textAlignment w:val="auto"/>
        <w:rPr>
          <w:rFonts w:hint="eastAsia" w:ascii="宋体" w:hAnsi="宋体" w:eastAsia="宋体" w:cs="宋体"/>
          <w:b/>
          <w:color w:val="auto"/>
          <w:kern w:val="0"/>
          <w:sz w:val="21"/>
          <w:szCs w:val="21"/>
          <w:highlight w:val="none"/>
        </w:rPr>
      </w:pPr>
      <w:bookmarkStart w:id="89" w:name="_Toc247639855"/>
      <w:bookmarkStart w:id="90" w:name="_Toc360629043"/>
      <w:bookmarkStart w:id="91" w:name="_Toc286063253"/>
      <w:bookmarkStart w:id="92" w:name="_Toc286069516"/>
      <w:bookmarkStart w:id="93" w:name="_Toc279505614"/>
      <w:r>
        <w:rPr>
          <w:rFonts w:hint="eastAsia" w:ascii="宋体" w:hAnsi="宋体" w:eastAsia="宋体" w:cs="宋体"/>
          <w:b/>
          <w:color w:val="auto"/>
          <w:kern w:val="0"/>
          <w:sz w:val="21"/>
          <w:szCs w:val="21"/>
          <w:highlight w:val="none"/>
        </w:rPr>
        <w:t>2.3 招标文件的修改</w:t>
      </w:r>
      <w:bookmarkEnd w:id="89"/>
      <w:bookmarkEnd w:id="90"/>
      <w:bookmarkEnd w:id="91"/>
      <w:bookmarkEnd w:id="92"/>
      <w:bookmarkEnd w:id="93"/>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2.3.1招标人以投标人须知前附表规定的形式修改招标文件，并通知所有已购买招标文件的投标人。修改招标文件的时间距本章第 4.2.1 项规定的投标截止时间不足15日的，并且修改内容可能影响投标文件编制的，将相应延长投标截止时间。</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2.3.2投标人收到修改内容后，应按投标人须知前附表规定的时间和形式通知招标人，确认已收到该修改。</w:t>
      </w:r>
    </w:p>
    <w:p>
      <w:pPr>
        <w:pStyle w:val="55"/>
        <w:keepNext w:val="0"/>
        <w:keepLines w:val="0"/>
        <w:pageBreakBefore w:val="0"/>
        <w:numPr>
          <w:ilvl w:val="0"/>
          <w:numId w:val="0"/>
        </w:numPr>
        <w:pBdr>
          <w:top w:val="none" w:color="auto" w:sz="0" w:space="1"/>
          <w:left w:val="none" w:color="auto" w:sz="0" w:space="4"/>
          <w:bottom w:val="none" w:color="auto" w:sz="0" w:space="1"/>
          <w:right w:val="none" w:color="auto" w:sz="0" w:space="4"/>
        </w:pBdr>
        <w:shd w:val="clear" w:fill="auto"/>
        <w:tabs>
          <w:tab w:val="left" w:pos="425"/>
        </w:tabs>
        <w:kinsoku/>
        <w:wordWrap/>
        <w:overflowPunct/>
        <w:topLinePunct w:val="0"/>
        <w:bidi w:val="0"/>
        <w:adjustRightInd/>
        <w:snapToGrid/>
        <w:spacing w:line="430" w:lineRule="exact"/>
        <w:ind w:firstLine="422" w:firstLineChars="200"/>
        <w:contextualSpacing/>
        <w:textAlignment w:val="auto"/>
        <w:rPr>
          <w:rFonts w:ascii="宋体" w:hAnsi="宋体" w:cs="宋体"/>
          <w:b/>
          <w:bCs/>
          <w:sz w:val="21"/>
          <w:szCs w:val="21"/>
          <w:highlight w:val="none"/>
        </w:rPr>
      </w:pPr>
      <w:bookmarkStart w:id="94" w:name="_Toc486931297"/>
      <w:bookmarkStart w:id="95" w:name="_Toc27084"/>
      <w:bookmarkStart w:id="96" w:name="_Toc15218"/>
      <w:bookmarkStart w:id="97" w:name="_Toc247639856"/>
      <w:bookmarkStart w:id="98" w:name="_Toc360629044"/>
      <w:bookmarkStart w:id="99" w:name="_Toc4796"/>
      <w:r>
        <w:rPr>
          <w:rFonts w:hint="eastAsia" w:ascii="宋体" w:hAnsi="宋体" w:cs="宋体"/>
          <w:b/>
          <w:bCs/>
          <w:sz w:val="21"/>
          <w:szCs w:val="21"/>
          <w:highlight w:val="none"/>
        </w:rPr>
        <w:t>提醒：各投标人应在下载招标文件后及时关注郑州航空港经济综合实验区(郑州新郑综合保税区)公共资源交易中心电子平台是否刊登本项目招标文件补充文件等资料，并自行下载，如由于投标人未看到并及时下载文件资料而带来的风险，招标人不承担任何责任。</w:t>
      </w:r>
    </w:p>
    <w:p>
      <w:pPr>
        <w:keepNext w:val="0"/>
        <w:keepLines w:val="0"/>
        <w:pageBreakBefore w:val="0"/>
        <w:widowControl/>
        <w:shd w:val="clear" w:fill="auto"/>
        <w:kinsoku/>
        <w:wordWrap/>
        <w:overflowPunct/>
        <w:topLinePunct w:val="0"/>
        <w:autoSpaceDN w:val="0"/>
        <w:bidi w:val="0"/>
        <w:adjustRightInd/>
        <w:snapToGrid/>
        <w:spacing w:line="430" w:lineRule="exact"/>
        <w:jc w:val="both"/>
        <w:textAlignment w:val="auto"/>
        <w:outlineLvl w:val="1"/>
        <w:rPr>
          <w:rFonts w:hint="eastAsia" w:ascii="宋体" w:hAnsi="宋体" w:eastAsia="宋体" w:cs="宋体"/>
          <w:b/>
          <w:color w:val="auto"/>
          <w:kern w:val="0"/>
          <w:sz w:val="21"/>
          <w:szCs w:val="21"/>
          <w:highlight w:val="none"/>
        </w:rPr>
      </w:pPr>
      <w:bookmarkStart w:id="100" w:name="_Toc2468"/>
      <w:bookmarkStart w:id="101" w:name="_Toc9230"/>
      <w:bookmarkStart w:id="102" w:name="_Toc23414"/>
      <w:bookmarkStart w:id="103" w:name="_Toc2520"/>
      <w:r>
        <w:rPr>
          <w:rFonts w:hint="eastAsia" w:ascii="宋体" w:hAnsi="宋体" w:eastAsia="宋体" w:cs="宋体"/>
          <w:b/>
          <w:color w:val="auto"/>
          <w:kern w:val="0"/>
          <w:sz w:val="21"/>
          <w:szCs w:val="21"/>
          <w:highlight w:val="none"/>
        </w:rPr>
        <w:t>3. 投标文件</w:t>
      </w:r>
      <w:bookmarkEnd w:id="94"/>
      <w:bookmarkEnd w:id="95"/>
      <w:bookmarkEnd w:id="96"/>
      <w:bookmarkEnd w:id="97"/>
      <w:bookmarkEnd w:id="98"/>
      <w:bookmarkEnd w:id="99"/>
      <w:bookmarkEnd w:id="100"/>
      <w:bookmarkEnd w:id="101"/>
      <w:bookmarkEnd w:id="102"/>
      <w:bookmarkEnd w:id="103"/>
    </w:p>
    <w:p>
      <w:pPr>
        <w:keepNext w:val="0"/>
        <w:keepLines w:val="0"/>
        <w:pageBreakBefore w:val="0"/>
        <w:widowControl/>
        <w:shd w:val="clear" w:fill="auto"/>
        <w:kinsoku/>
        <w:wordWrap/>
        <w:overflowPunct/>
        <w:topLinePunct w:val="0"/>
        <w:bidi w:val="0"/>
        <w:adjustRightInd/>
        <w:snapToGrid/>
        <w:spacing w:line="430" w:lineRule="exact"/>
        <w:jc w:val="left"/>
        <w:textAlignment w:val="auto"/>
        <w:rPr>
          <w:rFonts w:hint="eastAsia" w:ascii="宋体" w:hAnsi="宋体" w:eastAsia="宋体" w:cs="宋体"/>
          <w:b/>
          <w:color w:val="auto"/>
          <w:kern w:val="0"/>
          <w:sz w:val="21"/>
          <w:szCs w:val="21"/>
          <w:highlight w:val="none"/>
        </w:rPr>
      </w:pPr>
      <w:bookmarkStart w:id="104" w:name="_Toc360629045"/>
      <w:bookmarkStart w:id="105" w:name="_Toc286063255"/>
      <w:bookmarkStart w:id="106" w:name="_Toc279505617"/>
      <w:bookmarkStart w:id="107" w:name="_Toc247639858"/>
      <w:bookmarkStart w:id="108" w:name="_Toc286069518"/>
      <w:r>
        <w:rPr>
          <w:rFonts w:hint="eastAsia" w:ascii="宋体" w:hAnsi="宋体" w:eastAsia="宋体" w:cs="宋体"/>
          <w:b/>
          <w:color w:val="auto"/>
          <w:kern w:val="0"/>
          <w:sz w:val="21"/>
          <w:szCs w:val="21"/>
          <w:highlight w:val="none"/>
        </w:rPr>
        <w:t>3.1 投标文件的组成</w:t>
      </w:r>
      <w:bookmarkEnd w:id="104"/>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3.1.1 投标文件应包括下列内容：</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0"/>
          <w:highlight w:val="none"/>
        </w:rPr>
      </w:pPr>
      <w:bookmarkStart w:id="109" w:name="_Toc359410821"/>
      <w:r>
        <w:rPr>
          <w:rFonts w:hint="eastAsia" w:ascii="宋体" w:hAnsi="宋体" w:eastAsia="宋体" w:cs="宋体"/>
          <w:color w:val="auto"/>
          <w:kern w:val="0"/>
          <w:sz w:val="21"/>
          <w:szCs w:val="20"/>
          <w:highlight w:val="none"/>
        </w:rPr>
        <w:t>（1）投标函及投标函附录；</w:t>
      </w:r>
      <w:bookmarkEnd w:id="109"/>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0"/>
          <w:highlight w:val="none"/>
        </w:rPr>
      </w:pPr>
      <w:bookmarkStart w:id="110" w:name="_Toc359410822"/>
      <w:r>
        <w:rPr>
          <w:rFonts w:hint="eastAsia" w:ascii="宋体" w:hAnsi="宋体" w:eastAsia="宋体" w:cs="宋体"/>
          <w:color w:val="auto"/>
          <w:kern w:val="0"/>
          <w:sz w:val="21"/>
          <w:szCs w:val="20"/>
          <w:highlight w:val="none"/>
        </w:rPr>
        <w:t>（2）</w:t>
      </w:r>
      <w:r>
        <w:rPr>
          <w:rFonts w:hint="eastAsia" w:ascii="宋体" w:hAnsi="宋体" w:eastAsia="宋体"/>
          <w:color w:val="000000"/>
          <w:kern w:val="0"/>
          <w:highlight w:val="none"/>
          <w:lang w:eastAsia="zh-CN"/>
        </w:rPr>
        <w:t>法定代表人身份证明及授权委托书；</w:t>
      </w:r>
      <w:bookmarkEnd w:id="110"/>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0"/>
          <w:highlight w:val="none"/>
        </w:rPr>
      </w:pPr>
      <w:bookmarkStart w:id="111" w:name="_Toc359410823"/>
      <w:r>
        <w:rPr>
          <w:rFonts w:hint="eastAsia" w:ascii="宋体" w:hAnsi="宋体" w:eastAsia="宋体" w:cs="宋体"/>
          <w:color w:val="auto"/>
          <w:kern w:val="0"/>
          <w:sz w:val="21"/>
          <w:szCs w:val="20"/>
          <w:highlight w:val="none"/>
        </w:rPr>
        <w:t>（</w:t>
      </w:r>
      <w:r>
        <w:rPr>
          <w:rFonts w:hint="eastAsia" w:ascii="宋体" w:hAnsi="宋体" w:cs="宋体"/>
          <w:color w:val="auto"/>
          <w:kern w:val="0"/>
          <w:sz w:val="21"/>
          <w:szCs w:val="20"/>
          <w:highlight w:val="none"/>
          <w:lang w:val="en-US" w:eastAsia="zh-CN"/>
        </w:rPr>
        <w:t>3</w:t>
      </w:r>
      <w:r>
        <w:rPr>
          <w:rFonts w:hint="eastAsia" w:ascii="宋体" w:hAnsi="宋体" w:eastAsia="宋体" w:cs="宋体"/>
          <w:color w:val="auto"/>
          <w:kern w:val="0"/>
          <w:sz w:val="21"/>
          <w:szCs w:val="20"/>
          <w:highlight w:val="none"/>
        </w:rPr>
        <w:t>）投标保证金；</w:t>
      </w:r>
      <w:bookmarkEnd w:id="111"/>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0"/>
          <w:highlight w:val="none"/>
          <w:lang w:val="en-US" w:eastAsia="zh-CN"/>
        </w:rPr>
      </w:pPr>
      <w:bookmarkStart w:id="112" w:name="_Toc359410824"/>
      <w:r>
        <w:rPr>
          <w:rFonts w:hint="eastAsia" w:ascii="宋体" w:hAnsi="宋体" w:eastAsia="宋体" w:cs="宋体"/>
          <w:color w:val="auto"/>
          <w:kern w:val="0"/>
          <w:sz w:val="21"/>
          <w:szCs w:val="20"/>
          <w:highlight w:val="none"/>
        </w:rPr>
        <w:t>（</w:t>
      </w:r>
      <w:r>
        <w:rPr>
          <w:rFonts w:hint="eastAsia" w:ascii="宋体" w:hAnsi="宋体" w:cs="宋体"/>
          <w:color w:val="auto"/>
          <w:kern w:val="0"/>
          <w:sz w:val="21"/>
          <w:szCs w:val="20"/>
          <w:highlight w:val="none"/>
          <w:lang w:val="en-US" w:eastAsia="zh-CN"/>
        </w:rPr>
        <w:t>4</w:t>
      </w:r>
      <w:r>
        <w:rPr>
          <w:rFonts w:hint="eastAsia" w:ascii="宋体" w:hAnsi="宋体" w:eastAsia="宋体" w:cs="宋体"/>
          <w:color w:val="auto"/>
          <w:kern w:val="0"/>
          <w:sz w:val="21"/>
          <w:szCs w:val="20"/>
          <w:highlight w:val="none"/>
        </w:rPr>
        <w:t>）已标价工程量清单</w:t>
      </w:r>
      <w:bookmarkEnd w:id="112"/>
      <w:bookmarkStart w:id="113" w:name="_Toc359410825"/>
      <w:r>
        <w:rPr>
          <w:rFonts w:hint="eastAsia" w:ascii="宋体" w:hAnsi="宋体" w:cs="宋体"/>
          <w:color w:val="auto"/>
          <w:kern w:val="0"/>
          <w:sz w:val="21"/>
          <w:szCs w:val="20"/>
          <w:highlight w:val="none"/>
          <w:lang w:val="en-US" w:eastAsia="zh-CN"/>
        </w:rPr>
        <w:t>；</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rPr>
        <w:t>（</w:t>
      </w:r>
      <w:r>
        <w:rPr>
          <w:rFonts w:hint="eastAsia" w:ascii="宋体" w:hAnsi="宋体" w:cs="宋体"/>
          <w:color w:val="auto"/>
          <w:kern w:val="0"/>
          <w:sz w:val="21"/>
          <w:szCs w:val="20"/>
          <w:highlight w:val="none"/>
          <w:lang w:val="en-US" w:eastAsia="zh-CN"/>
        </w:rPr>
        <w:t>5</w:t>
      </w:r>
      <w:r>
        <w:rPr>
          <w:rFonts w:hint="eastAsia" w:ascii="宋体" w:hAnsi="宋体" w:eastAsia="宋体" w:cs="宋体"/>
          <w:color w:val="auto"/>
          <w:kern w:val="0"/>
          <w:sz w:val="21"/>
          <w:szCs w:val="20"/>
          <w:highlight w:val="none"/>
        </w:rPr>
        <w:t>）施工组织设计</w:t>
      </w:r>
      <w:bookmarkEnd w:id="113"/>
      <w:r>
        <w:rPr>
          <w:rFonts w:hint="eastAsia" w:ascii="宋体" w:hAnsi="宋体" w:eastAsia="宋体" w:cs="宋体"/>
          <w:color w:val="auto"/>
          <w:kern w:val="0"/>
          <w:sz w:val="21"/>
          <w:szCs w:val="20"/>
          <w:highlight w:val="none"/>
        </w:rPr>
        <w:t>；</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0"/>
          <w:highlight w:val="none"/>
        </w:rPr>
      </w:pPr>
      <w:bookmarkStart w:id="114" w:name="_Toc359410826"/>
      <w:r>
        <w:rPr>
          <w:rFonts w:hint="eastAsia" w:ascii="宋体" w:hAnsi="宋体" w:eastAsia="宋体" w:cs="宋体"/>
          <w:color w:val="auto"/>
          <w:kern w:val="0"/>
          <w:sz w:val="21"/>
          <w:szCs w:val="20"/>
          <w:highlight w:val="none"/>
        </w:rPr>
        <w:t>（</w:t>
      </w:r>
      <w:r>
        <w:rPr>
          <w:rFonts w:hint="eastAsia" w:ascii="宋体" w:hAnsi="宋体" w:cs="宋体"/>
          <w:color w:val="auto"/>
          <w:kern w:val="0"/>
          <w:sz w:val="21"/>
          <w:szCs w:val="20"/>
          <w:highlight w:val="none"/>
          <w:lang w:val="en-US" w:eastAsia="zh-CN"/>
        </w:rPr>
        <w:t>6</w:t>
      </w:r>
      <w:r>
        <w:rPr>
          <w:rFonts w:hint="eastAsia" w:ascii="宋体" w:hAnsi="宋体" w:eastAsia="宋体" w:cs="宋体"/>
          <w:color w:val="auto"/>
          <w:kern w:val="0"/>
          <w:sz w:val="21"/>
          <w:szCs w:val="20"/>
          <w:highlight w:val="none"/>
        </w:rPr>
        <w:t>）项目管理机构；</w:t>
      </w:r>
      <w:bookmarkEnd w:id="114"/>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w:t>
      </w:r>
      <w:r>
        <w:rPr>
          <w:rFonts w:hint="eastAsia" w:ascii="宋体" w:hAnsi="宋体" w:cs="宋体"/>
          <w:color w:val="auto"/>
          <w:kern w:val="0"/>
          <w:sz w:val="21"/>
          <w:szCs w:val="20"/>
          <w:highlight w:val="none"/>
          <w:lang w:val="en-US" w:eastAsia="zh-CN"/>
        </w:rPr>
        <w:t>7</w:t>
      </w:r>
      <w:r>
        <w:rPr>
          <w:rFonts w:hint="eastAsia" w:ascii="宋体" w:hAnsi="宋体" w:eastAsia="宋体" w:cs="宋体"/>
          <w:color w:val="auto"/>
          <w:kern w:val="0"/>
          <w:sz w:val="21"/>
          <w:szCs w:val="20"/>
          <w:highlight w:val="none"/>
        </w:rPr>
        <w:t>）资格审查资料；</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0"/>
          <w:highlight w:val="none"/>
          <w:lang w:val="en-US" w:eastAsia="zh-CN"/>
        </w:rPr>
      </w:pPr>
      <w:bookmarkStart w:id="115" w:name="_Toc359410829"/>
      <w:r>
        <w:rPr>
          <w:rFonts w:hint="eastAsia" w:ascii="宋体" w:hAnsi="宋体" w:eastAsia="宋体" w:cs="宋体"/>
          <w:color w:val="auto"/>
          <w:kern w:val="0"/>
          <w:sz w:val="21"/>
          <w:szCs w:val="20"/>
          <w:highlight w:val="none"/>
        </w:rPr>
        <w:t>（</w:t>
      </w:r>
      <w:r>
        <w:rPr>
          <w:rFonts w:hint="eastAsia" w:ascii="宋体" w:hAnsi="宋体" w:cs="宋体"/>
          <w:color w:val="auto"/>
          <w:kern w:val="0"/>
          <w:sz w:val="21"/>
          <w:szCs w:val="20"/>
          <w:highlight w:val="none"/>
          <w:lang w:val="en-US" w:eastAsia="zh-CN"/>
        </w:rPr>
        <w:t>8</w:t>
      </w:r>
      <w:r>
        <w:rPr>
          <w:rFonts w:hint="eastAsia" w:ascii="宋体" w:hAnsi="宋体" w:eastAsia="宋体" w:cs="宋体"/>
          <w:color w:val="auto"/>
          <w:kern w:val="0"/>
          <w:sz w:val="21"/>
          <w:szCs w:val="20"/>
          <w:highlight w:val="none"/>
        </w:rPr>
        <w:t>）</w:t>
      </w:r>
      <w:r>
        <w:rPr>
          <w:rFonts w:hint="eastAsia" w:ascii="宋体" w:hAnsi="宋体" w:eastAsia="宋体" w:cs="宋体"/>
          <w:color w:val="auto"/>
          <w:kern w:val="0"/>
          <w:sz w:val="21"/>
          <w:szCs w:val="20"/>
          <w:highlight w:val="none"/>
          <w:lang w:eastAsia="zh-CN"/>
        </w:rPr>
        <w:t>其他资料</w:t>
      </w:r>
      <w:r>
        <w:rPr>
          <w:rFonts w:hint="eastAsia" w:ascii="宋体" w:hAnsi="宋体" w:eastAsia="宋体" w:cs="宋体"/>
          <w:color w:val="auto"/>
          <w:kern w:val="0"/>
          <w:sz w:val="21"/>
          <w:szCs w:val="20"/>
          <w:highlight w:val="none"/>
          <w:lang w:val="en-US" w:eastAsia="zh-CN"/>
        </w:rPr>
        <w:t>。</w:t>
      </w:r>
    </w:p>
    <w:bookmarkEnd w:id="115"/>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3.1.2 投标人必须使用招标文件提供的表格格式，但表格可以按同样格式扩展，投标保证金的方式按本须知有关条款的规定可以选择。</w:t>
      </w:r>
    </w:p>
    <w:p>
      <w:pPr>
        <w:keepNext w:val="0"/>
        <w:keepLines w:val="0"/>
        <w:pageBreakBefore w:val="0"/>
        <w:widowControl/>
        <w:shd w:val="clear" w:fill="auto"/>
        <w:kinsoku/>
        <w:wordWrap/>
        <w:overflowPunct/>
        <w:topLinePunct w:val="0"/>
        <w:bidi w:val="0"/>
        <w:adjustRightInd/>
        <w:snapToGrid/>
        <w:spacing w:line="430" w:lineRule="exact"/>
        <w:jc w:val="left"/>
        <w:textAlignment w:val="auto"/>
        <w:rPr>
          <w:rFonts w:hint="eastAsia" w:ascii="宋体" w:hAnsi="宋体" w:eastAsia="宋体" w:cs="宋体"/>
          <w:b/>
          <w:color w:val="auto"/>
          <w:kern w:val="0"/>
          <w:sz w:val="21"/>
          <w:szCs w:val="21"/>
          <w:highlight w:val="none"/>
        </w:rPr>
      </w:pPr>
      <w:bookmarkStart w:id="116" w:name="_Toc360629046"/>
      <w:r>
        <w:rPr>
          <w:rFonts w:hint="eastAsia" w:ascii="宋体" w:hAnsi="宋体" w:eastAsia="宋体" w:cs="宋体"/>
          <w:b/>
          <w:color w:val="auto"/>
          <w:kern w:val="0"/>
          <w:sz w:val="21"/>
          <w:szCs w:val="21"/>
          <w:highlight w:val="none"/>
        </w:rPr>
        <w:t>3.2 投标报价</w:t>
      </w:r>
      <w:bookmarkEnd w:id="105"/>
      <w:bookmarkEnd w:id="106"/>
      <w:bookmarkEnd w:id="107"/>
      <w:bookmarkEnd w:id="108"/>
      <w:bookmarkEnd w:id="116"/>
    </w:p>
    <w:p>
      <w:pPr>
        <w:keepNext w:val="0"/>
        <w:keepLines w:val="0"/>
        <w:pageBreakBefore w:val="0"/>
        <w:widowControl/>
        <w:shd w:val="clear" w:fill="auto"/>
        <w:kinsoku/>
        <w:wordWrap/>
        <w:overflowPunct/>
        <w:topLinePunct w:val="0"/>
        <w:bidi w:val="0"/>
        <w:adjustRightInd/>
        <w:snapToGrid/>
        <w:spacing w:line="430" w:lineRule="exact"/>
        <w:ind w:firstLine="420" w:firstLineChars="200"/>
        <w:jc w:val="left"/>
        <w:textAlignment w:val="auto"/>
        <w:rPr>
          <w:rFonts w:hint="eastAsia" w:ascii="宋体" w:hAnsi="宋体" w:eastAsia="宋体" w:cs="宋体"/>
          <w:color w:val="000000"/>
          <w:kern w:val="0"/>
          <w:sz w:val="21"/>
          <w:szCs w:val="22"/>
          <w:highlight w:val="none"/>
        </w:rPr>
      </w:pPr>
      <w:bookmarkStart w:id="117" w:name="_Toc247639859"/>
      <w:bookmarkStart w:id="118" w:name="_Toc286069519"/>
      <w:bookmarkStart w:id="119" w:name="_Toc279505618"/>
      <w:bookmarkStart w:id="120" w:name="_Toc286063256"/>
      <w:bookmarkStart w:id="121" w:name="_Toc360629047"/>
      <w:r>
        <w:rPr>
          <w:rFonts w:hint="eastAsia" w:ascii="宋体" w:hAnsi="宋体" w:eastAsia="宋体" w:cs="宋体"/>
          <w:color w:val="000000"/>
          <w:kern w:val="0"/>
          <w:sz w:val="21"/>
          <w:szCs w:val="22"/>
          <w:highlight w:val="none"/>
        </w:rPr>
        <w:t>3.2.1 投标人应按第</w:t>
      </w:r>
      <w:r>
        <w:rPr>
          <w:rFonts w:hint="eastAsia" w:ascii="宋体" w:hAnsi="宋体" w:cs="宋体"/>
          <w:color w:val="000000"/>
          <w:kern w:val="0"/>
          <w:sz w:val="21"/>
          <w:szCs w:val="22"/>
          <w:highlight w:val="none"/>
          <w:lang w:eastAsia="zh-CN"/>
        </w:rPr>
        <w:t>六</w:t>
      </w:r>
      <w:r>
        <w:rPr>
          <w:rFonts w:hint="eastAsia" w:ascii="宋体" w:hAnsi="宋体" w:eastAsia="宋体" w:cs="宋体"/>
          <w:color w:val="000000"/>
          <w:kern w:val="0"/>
          <w:sz w:val="21"/>
          <w:szCs w:val="22"/>
          <w:highlight w:val="none"/>
        </w:rPr>
        <w:t>章“工程量清单”的要求填写相应表格。</w:t>
      </w:r>
    </w:p>
    <w:p>
      <w:pPr>
        <w:keepNext w:val="0"/>
        <w:keepLines w:val="0"/>
        <w:pageBreakBefore w:val="0"/>
        <w:widowControl/>
        <w:shd w:val="clear" w:fill="auto"/>
        <w:kinsoku/>
        <w:wordWrap/>
        <w:overflowPunct/>
        <w:topLinePunct w:val="0"/>
        <w:bidi w:val="0"/>
        <w:adjustRightInd/>
        <w:snapToGrid/>
        <w:spacing w:line="430" w:lineRule="exact"/>
        <w:ind w:firstLine="420" w:firstLineChars="200"/>
        <w:jc w:val="left"/>
        <w:textAlignment w:val="auto"/>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1"/>
          <w:szCs w:val="22"/>
          <w:highlight w:val="none"/>
        </w:rPr>
        <w:t>3.2.2 投标人在投标截止时间前修改投标函中的投标总报价，应同时修改第</w:t>
      </w:r>
      <w:r>
        <w:rPr>
          <w:rFonts w:hint="eastAsia" w:ascii="宋体" w:hAnsi="宋体" w:cs="宋体"/>
          <w:color w:val="000000"/>
          <w:kern w:val="0"/>
          <w:sz w:val="21"/>
          <w:szCs w:val="22"/>
          <w:highlight w:val="none"/>
          <w:lang w:eastAsia="zh-CN"/>
        </w:rPr>
        <w:t>六</w:t>
      </w:r>
      <w:r>
        <w:rPr>
          <w:rFonts w:hint="eastAsia" w:ascii="宋体" w:hAnsi="宋体" w:eastAsia="宋体" w:cs="宋体"/>
          <w:color w:val="000000"/>
          <w:kern w:val="0"/>
          <w:sz w:val="21"/>
          <w:szCs w:val="22"/>
          <w:highlight w:val="none"/>
        </w:rPr>
        <w:t>章“工程量清单”中的相应报价。此修改须符合本章第4.3款的有关要求。　</w:t>
      </w:r>
      <w:r>
        <w:rPr>
          <w:rFonts w:hint="eastAsia" w:ascii="宋体" w:hAnsi="宋体" w:eastAsia="宋体" w:cs="宋体"/>
          <w:color w:val="000000"/>
          <w:kern w:val="0"/>
          <w:sz w:val="20"/>
          <w:szCs w:val="21"/>
          <w:highlight w:val="none"/>
        </w:rPr>
        <w:t>　</w:t>
      </w:r>
    </w:p>
    <w:p>
      <w:pPr>
        <w:keepNext w:val="0"/>
        <w:keepLines w:val="0"/>
        <w:pageBreakBefore w:val="0"/>
        <w:widowControl/>
        <w:shd w:val="clear" w:fill="auto"/>
        <w:kinsoku/>
        <w:wordWrap/>
        <w:overflowPunct/>
        <w:topLinePunct w:val="0"/>
        <w:autoSpaceDE w:val="0"/>
        <w:autoSpaceDN w:val="0"/>
        <w:bidi w:val="0"/>
        <w:adjustRightInd/>
        <w:snapToGrid/>
        <w:spacing w:line="430" w:lineRule="exact"/>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b/>
          <w:color w:val="auto"/>
          <w:kern w:val="0"/>
          <w:sz w:val="21"/>
          <w:szCs w:val="20"/>
          <w:highlight w:val="none"/>
        </w:rPr>
        <w:t>3.3 投标有效期</w:t>
      </w:r>
      <w:bookmarkEnd w:id="117"/>
      <w:bookmarkEnd w:id="118"/>
      <w:bookmarkEnd w:id="119"/>
      <w:bookmarkEnd w:id="120"/>
      <w:bookmarkEnd w:id="121"/>
    </w:p>
    <w:p>
      <w:pPr>
        <w:keepNext w:val="0"/>
        <w:keepLines w:val="0"/>
        <w:pageBreakBefore w:val="0"/>
        <w:widowControl/>
        <w:shd w:val="clear" w:fill="auto"/>
        <w:tabs>
          <w:tab w:val="left" w:pos="940"/>
        </w:tabs>
        <w:kinsoku/>
        <w:wordWrap/>
        <w:overflowPunct/>
        <w:topLinePunct w:val="0"/>
        <w:autoSpaceDE/>
        <w:autoSpaceDN/>
        <w:bidi w:val="0"/>
        <w:adjustRightInd/>
        <w:snapToGrid/>
        <w:spacing w:line="430" w:lineRule="exact"/>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3.3.1除投标人须知前附表另有规定外，投标有效期为 90 </w:t>
      </w:r>
      <w:r>
        <w:rPr>
          <w:rFonts w:hint="eastAsia" w:ascii="宋体" w:hAnsi="宋体" w:eastAsia="宋体" w:cs="宋体"/>
          <w:kern w:val="0"/>
          <w:sz w:val="21"/>
          <w:szCs w:val="21"/>
          <w:highlight w:val="none"/>
          <w:lang w:eastAsia="zh-CN"/>
        </w:rPr>
        <w:t>日历</w:t>
      </w:r>
      <w:r>
        <w:rPr>
          <w:rFonts w:hint="eastAsia" w:ascii="宋体" w:hAnsi="宋体" w:eastAsia="宋体" w:cs="宋体"/>
          <w:kern w:val="0"/>
          <w:sz w:val="21"/>
          <w:szCs w:val="21"/>
          <w:highlight w:val="none"/>
        </w:rPr>
        <w:t>天。</w:t>
      </w:r>
    </w:p>
    <w:p>
      <w:pPr>
        <w:keepNext w:val="0"/>
        <w:keepLines w:val="0"/>
        <w:pageBreakBefore w:val="0"/>
        <w:widowControl/>
        <w:shd w:val="clear" w:fill="auto"/>
        <w:tabs>
          <w:tab w:val="left" w:pos="940"/>
        </w:tabs>
        <w:kinsoku/>
        <w:wordWrap/>
        <w:overflowPunct/>
        <w:topLinePunct w:val="0"/>
        <w:autoSpaceDE/>
        <w:autoSpaceDN/>
        <w:bidi w:val="0"/>
        <w:adjustRightInd/>
        <w:snapToGrid/>
        <w:spacing w:line="430" w:lineRule="exact"/>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3.3.2在投标有效期内，投标人撤销投标文件的，应承担招标文件和法律规定的责任。</w:t>
      </w:r>
    </w:p>
    <w:p>
      <w:pPr>
        <w:keepNext w:val="0"/>
        <w:keepLines w:val="0"/>
        <w:pageBreakBefore w:val="0"/>
        <w:widowControl/>
        <w:shd w:val="clear" w:fill="auto"/>
        <w:kinsoku/>
        <w:wordWrap/>
        <w:overflowPunct/>
        <w:topLinePunct w:val="0"/>
        <w:bidi w:val="0"/>
        <w:adjustRightInd/>
        <w:snapToGrid/>
        <w:spacing w:line="430" w:lineRule="exact"/>
        <w:ind w:firstLine="420" w:firstLineChars="200"/>
        <w:jc w:val="left"/>
        <w:textAlignment w:val="auto"/>
        <w:rPr>
          <w:rFonts w:hint="eastAsia" w:ascii="宋体" w:hAnsi="宋体" w:eastAsia="宋体" w:cs="宋体"/>
          <w:kern w:val="0"/>
          <w:sz w:val="20"/>
          <w:szCs w:val="21"/>
          <w:highlight w:val="none"/>
        </w:rPr>
      </w:pPr>
      <w:r>
        <w:rPr>
          <w:rFonts w:hint="eastAsia" w:ascii="宋体" w:hAnsi="宋体" w:eastAsia="宋体" w:cs="宋体"/>
          <w:kern w:val="0"/>
          <w:sz w:val="21"/>
          <w:szCs w:val="21"/>
          <w:highlight w:val="none"/>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keepNext w:val="0"/>
        <w:keepLines w:val="0"/>
        <w:pageBreakBefore w:val="0"/>
        <w:widowControl/>
        <w:shd w:val="clear" w:fill="auto"/>
        <w:kinsoku/>
        <w:wordWrap/>
        <w:overflowPunct/>
        <w:topLinePunct w:val="0"/>
        <w:autoSpaceDE w:val="0"/>
        <w:autoSpaceDN w:val="0"/>
        <w:bidi w:val="0"/>
        <w:adjustRightInd/>
        <w:snapToGrid/>
        <w:spacing w:line="430" w:lineRule="exact"/>
        <w:jc w:val="left"/>
        <w:textAlignment w:val="auto"/>
        <w:rPr>
          <w:rFonts w:hint="eastAsia" w:ascii="宋体" w:hAnsi="宋体" w:eastAsia="宋体" w:cs="宋体"/>
          <w:b/>
          <w:color w:val="auto"/>
          <w:kern w:val="0"/>
          <w:sz w:val="21"/>
          <w:szCs w:val="20"/>
          <w:highlight w:val="none"/>
        </w:rPr>
      </w:pPr>
      <w:bookmarkStart w:id="122" w:name="_Toc247639860"/>
      <w:bookmarkStart w:id="123" w:name="_Toc279505619"/>
      <w:bookmarkStart w:id="124" w:name="_Toc286063257"/>
      <w:bookmarkStart w:id="125" w:name="_Toc286069520"/>
      <w:bookmarkStart w:id="126" w:name="_Toc360629048"/>
      <w:r>
        <w:rPr>
          <w:rFonts w:hint="eastAsia" w:ascii="宋体" w:hAnsi="宋体" w:eastAsia="宋体" w:cs="宋体"/>
          <w:b/>
          <w:color w:val="auto"/>
          <w:kern w:val="0"/>
          <w:sz w:val="21"/>
          <w:szCs w:val="20"/>
          <w:highlight w:val="none"/>
        </w:rPr>
        <w:t>3.4 投标保证金</w:t>
      </w:r>
      <w:bookmarkEnd w:id="122"/>
      <w:bookmarkEnd w:id="123"/>
      <w:bookmarkEnd w:id="124"/>
      <w:bookmarkEnd w:id="125"/>
      <w:bookmarkEnd w:id="126"/>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3.4.1 投标人在递交投标文件的同时，应按投标人须知前附表规定的金额、担保形式和第</w:t>
      </w:r>
      <w:r>
        <w:rPr>
          <w:rFonts w:hint="eastAsia" w:ascii="宋体" w:hAnsi="宋体" w:cs="宋体"/>
          <w:color w:val="auto"/>
          <w:kern w:val="0"/>
          <w:sz w:val="21"/>
          <w:szCs w:val="20"/>
          <w:highlight w:val="none"/>
          <w:lang w:eastAsia="zh-CN"/>
        </w:rPr>
        <w:t>九</w:t>
      </w:r>
      <w:r>
        <w:rPr>
          <w:rFonts w:hint="eastAsia" w:ascii="宋体" w:hAnsi="宋体" w:eastAsia="宋体" w:cs="宋体"/>
          <w:color w:val="auto"/>
          <w:kern w:val="0"/>
          <w:sz w:val="21"/>
          <w:szCs w:val="20"/>
          <w:highlight w:val="none"/>
        </w:rPr>
        <w:t>章“投标文件格式”规定的投标保证金格式递交投标保证金，并作为其投标文件的组成部分。</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bookmarkStart w:id="127" w:name="_Toc279505620"/>
      <w:bookmarkStart w:id="128" w:name="_Toc247639861"/>
      <w:r>
        <w:rPr>
          <w:rFonts w:hint="eastAsia" w:ascii="宋体" w:hAnsi="宋体" w:eastAsia="宋体" w:cs="宋体"/>
          <w:color w:val="auto"/>
          <w:kern w:val="2"/>
          <w:sz w:val="21"/>
          <w:szCs w:val="20"/>
          <w:highlight w:val="none"/>
        </w:rPr>
        <w:t>3.4.2投标人不按本章第 3.4.1 项要求提交投标保证金的，评标委员会将否决其投标。</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3.4.3招标人最迟将在与中标人签订合同后 5 日内，向未中标的投标人和中标人退还投标保证金。</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3.4.4有下列情形之一的，投标保证金将不予退还：</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（1）投标人在投标有效期内撤销投标文件；</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（2）中标人在收到中标通知书后，无正当理由不与招标人订立合同，在签订合同时向招标人提出附加条件，或者不按照招标文件要求提交履约保证金；</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（3）发生投标人须知前附表规定的其他可以不予退还投标保证金的情形。</w:t>
      </w:r>
    </w:p>
    <w:p>
      <w:pPr>
        <w:keepNext w:val="0"/>
        <w:keepLines w:val="0"/>
        <w:pageBreakBefore w:val="0"/>
        <w:widowControl/>
        <w:shd w:val="clear" w:fill="auto"/>
        <w:kinsoku/>
        <w:wordWrap/>
        <w:overflowPunct/>
        <w:topLinePunct w:val="0"/>
        <w:autoSpaceDE w:val="0"/>
        <w:autoSpaceDN w:val="0"/>
        <w:bidi w:val="0"/>
        <w:adjustRightInd/>
        <w:snapToGrid/>
        <w:spacing w:line="430" w:lineRule="exact"/>
        <w:jc w:val="left"/>
        <w:textAlignment w:val="auto"/>
        <w:rPr>
          <w:rFonts w:hint="eastAsia" w:ascii="宋体" w:hAnsi="宋体" w:eastAsia="宋体" w:cs="宋体"/>
          <w:b/>
          <w:color w:val="auto"/>
          <w:kern w:val="0"/>
          <w:sz w:val="21"/>
          <w:szCs w:val="20"/>
          <w:highlight w:val="none"/>
        </w:rPr>
      </w:pPr>
      <w:bookmarkStart w:id="129" w:name="_Toc286069521"/>
      <w:bookmarkStart w:id="130" w:name="_Toc360629049"/>
      <w:bookmarkStart w:id="131" w:name="_Toc286063258"/>
      <w:r>
        <w:rPr>
          <w:rFonts w:hint="eastAsia" w:ascii="宋体" w:hAnsi="宋体" w:eastAsia="宋体" w:cs="宋体"/>
          <w:b/>
          <w:color w:val="auto"/>
          <w:kern w:val="0"/>
          <w:sz w:val="21"/>
          <w:szCs w:val="20"/>
          <w:highlight w:val="none"/>
        </w:rPr>
        <w:t>3.5 资格审查资料</w:t>
      </w:r>
      <w:bookmarkEnd w:id="127"/>
      <w:bookmarkEnd w:id="128"/>
      <w:bookmarkEnd w:id="129"/>
      <w:bookmarkEnd w:id="130"/>
      <w:bookmarkEnd w:id="131"/>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3.5.1 “投标人基本情况表”应附投标人营业执照等材料的复印件。</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 xml:space="preserve">3.5.2 </w:t>
      </w:r>
      <w:r>
        <w:rPr>
          <w:rFonts w:hint="eastAsia" w:ascii="宋体" w:hAnsi="宋体" w:eastAsia="宋体" w:cs="宋体"/>
          <w:kern w:val="0"/>
          <w:sz w:val="21"/>
          <w:szCs w:val="21"/>
          <w:highlight w:val="none"/>
        </w:rPr>
        <w:t>近年财务状况表”应附经会计师事务所或审计机构审计的财务会计报表，包括资产负债表、现金流量表、利润表和财务情况说明书</w:t>
      </w:r>
      <w:r>
        <w:rPr>
          <w:rFonts w:hint="eastAsia" w:ascii="宋体" w:hAnsi="宋体" w:eastAsia="宋体" w:cs="宋体"/>
          <w:kern w:val="0"/>
          <w:sz w:val="21"/>
          <w:szCs w:val="21"/>
          <w:highlight w:val="none"/>
          <w:lang w:eastAsia="zh-CN"/>
        </w:rPr>
        <w:t>（或附注）</w:t>
      </w:r>
      <w:r>
        <w:rPr>
          <w:rFonts w:hint="eastAsia" w:ascii="宋体" w:hAnsi="宋体" w:eastAsia="宋体" w:cs="宋体"/>
          <w:kern w:val="0"/>
          <w:sz w:val="21"/>
          <w:szCs w:val="21"/>
          <w:highlight w:val="none"/>
        </w:rPr>
        <w:t>的复印件，具体年份要求见投标人须知前附表。投标人的成立时间少于投标人须知前附表规定年份的，应提供成立以来的财务状况表。</w:t>
      </w:r>
    </w:p>
    <w:p>
      <w:pPr>
        <w:keepNext w:val="0"/>
        <w:keepLines w:val="0"/>
        <w:pageBreakBefore w:val="0"/>
        <w:widowControl/>
        <w:shd w:val="clear" w:fill="auto"/>
        <w:kinsoku/>
        <w:wordWrap/>
        <w:overflowPunct/>
        <w:topLinePunct w:val="0"/>
        <w:bidi w:val="0"/>
        <w:adjustRightInd/>
        <w:snapToGrid/>
        <w:spacing w:line="430" w:lineRule="exact"/>
        <w:ind w:firstLine="420" w:firstLineChars="200"/>
        <w:jc w:val="left"/>
        <w:textAlignment w:val="auto"/>
        <w:rPr>
          <w:rFonts w:hint="eastAsia" w:ascii="宋体" w:hAnsi="宋体" w:eastAsia="宋体" w:cs="宋体"/>
          <w:b/>
          <w:bCs/>
          <w:kern w:val="0"/>
          <w:sz w:val="21"/>
          <w:szCs w:val="21"/>
          <w:highlight w:val="none"/>
          <w:lang w:eastAsia="zh-CN"/>
        </w:rPr>
      </w:pPr>
      <w:r>
        <w:rPr>
          <w:rFonts w:hint="eastAsia" w:ascii="宋体" w:hAnsi="宋体" w:eastAsia="宋体" w:cs="宋体"/>
          <w:kern w:val="0"/>
          <w:sz w:val="21"/>
          <w:szCs w:val="21"/>
          <w:highlight w:val="none"/>
        </w:rPr>
        <w:t>3.5.3 “近年完成的类似项目情况表”应附合同协议书、</w:t>
      </w:r>
      <w:r>
        <w:rPr>
          <w:rFonts w:hint="eastAsia" w:ascii="宋体" w:hAnsi="宋体" w:cs="宋体"/>
          <w:sz w:val="21"/>
          <w:szCs w:val="21"/>
          <w:highlight w:val="none"/>
          <w:lang w:val="en-US" w:eastAsia="zh-CN"/>
        </w:rPr>
        <w:t>中标通知书（如有）</w:t>
      </w:r>
      <w:r>
        <w:rPr>
          <w:rFonts w:hint="eastAsia" w:ascii="宋体" w:hAnsi="宋体" w:eastAsia="宋体" w:cs="宋体"/>
          <w:kern w:val="0"/>
          <w:sz w:val="21"/>
          <w:szCs w:val="21"/>
          <w:highlight w:val="none"/>
        </w:rPr>
        <w:t>的复印件</w:t>
      </w:r>
      <w:r>
        <w:rPr>
          <w:rFonts w:hint="eastAsia" w:ascii="宋体" w:hAnsi="宋体" w:cs="宋体"/>
          <w:kern w:val="0"/>
          <w:sz w:val="21"/>
          <w:szCs w:val="21"/>
          <w:highlight w:val="none"/>
          <w:lang w:eastAsia="zh-CN"/>
        </w:rPr>
        <w:t>或扫描件</w:t>
      </w:r>
      <w:r>
        <w:rPr>
          <w:rFonts w:hint="eastAsia" w:ascii="宋体" w:hAnsi="宋体" w:eastAsia="宋体" w:cs="宋体"/>
          <w:kern w:val="0"/>
          <w:sz w:val="21"/>
          <w:szCs w:val="21"/>
          <w:highlight w:val="none"/>
        </w:rPr>
        <w:t>，具体年份要求见投标人须知前附表。每张表格只填写一个项目，并标明序号。</w:t>
      </w:r>
    </w:p>
    <w:p>
      <w:pPr>
        <w:keepNext w:val="0"/>
        <w:keepLines w:val="0"/>
        <w:pageBreakBefore w:val="0"/>
        <w:widowControl/>
        <w:shd w:val="clear" w:fill="auto"/>
        <w:kinsoku/>
        <w:wordWrap/>
        <w:overflowPunct/>
        <w:topLinePunct w:val="0"/>
        <w:bidi w:val="0"/>
        <w:adjustRightInd/>
        <w:snapToGrid/>
        <w:spacing w:line="430" w:lineRule="exact"/>
        <w:ind w:firstLine="420" w:firstLineChars="200"/>
        <w:jc w:val="left"/>
        <w:textAlignment w:val="auto"/>
        <w:rPr>
          <w:rFonts w:hint="eastAsia" w:ascii="宋体" w:hAnsi="宋体" w:eastAsia="宋体" w:cs="宋体"/>
          <w:b/>
          <w:bCs/>
          <w:kern w:val="0"/>
          <w:sz w:val="21"/>
          <w:szCs w:val="21"/>
          <w:highlight w:val="none"/>
          <w:lang w:eastAsia="zh-CN"/>
        </w:rPr>
      </w:pPr>
      <w:r>
        <w:rPr>
          <w:rFonts w:hint="eastAsia" w:ascii="宋体" w:hAnsi="宋体" w:eastAsia="宋体" w:cs="宋体"/>
          <w:kern w:val="0"/>
          <w:sz w:val="21"/>
          <w:szCs w:val="21"/>
          <w:highlight w:val="none"/>
        </w:rPr>
        <w:t>3.5.4 “正在施工和新承接的项目情况表”应附合同协议书</w:t>
      </w:r>
      <w:r>
        <w:rPr>
          <w:rFonts w:hint="eastAsia" w:ascii="宋体" w:hAnsi="宋体" w:cs="宋体"/>
          <w:kern w:val="0"/>
          <w:sz w:val="21"/>
          <w:szCs w:val="21"/>
          <w:highlight w:val="none"/>
          <w:lang w:eastAsia="zh-CN"/>
        </w:rPr>
        <w:t>、</w:t>
      </w:r>
      <w:r>
        <w:rPr>
          <w:rFonts w:hint="eastAsia" w:ascii="宋体" w:hAnsi="宋体" w:cs="宋体"/>
          <w:sz w:val="21"/>
          <w:szCs w:val="21"/>
          <w:highlight w:val="none"/>
          <w:lang w:val="en-US" w:eastAsia="zh-CN"/>
        </w:rPr>
        <w:t>中标通知书（如有）</w:t>
      </w:r>
      <w:r>
        <w:rPr>
          <w:rFonts w:hint="eastAsia" w:ascii="宋体" w:hAnsi="宋体" w:eastAsia="宋体" w:cs="宋体"/>
          <w:kern w:val="0"/>
          <w:sz w:val="21"/>
          <w:szCs w:val="21"/>
          <w:highlight w:val="none"/>
        </w:rPr>
        <w:t>复印件或扫描件。每张表格只填写一个项目，并标明序号。</w:t>
      </w:r>
    </w:p>
    <w:p>
      <w:pPr>
        <w:keepNext w:val="0"/>
        <w:keepLines w:val="0"/>
        <w:pageBreakBefore w:val="0"/>
        <w:widowControl/>
        <w:shd w:val="clear" w:fill="auto"/>
        <w:kinsoku/>
        <w:wordWrap/>
        <w:overflowPunct/>
        <w:topLinePunct w:val="0"/>
        <w:bidi w:val="0"/>
        <w:adjustRightInd/>
        <w:snapToGrid/>
        <w:spacing w:line="43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3.5.5 “近年发生的诉讼及仲裁情况”应说明相关情况，并附法院或仲裁机构作出的判决、裁决等有关法律文书复印件，具体年份要求见投标人须知前附表。</w:t>
      </w:r>
    </w:p>
    <w:p>
      <w:pPr>
        <w:keepNext w:val="0"/>
        <w:keepLines w:val="0"/>
        <w:pageBreakBefore w:val="0"/>
        <w:widowControl/>
        <w:shd w:val="clear" w:fill="auto"/>
        <w:kinsoku/>
        <w:wordWrap/>
        <w:overflowPunct/>
        <w:topLinePunct w:val="0"/>
        <w:bidi w:val="0"/>
        <w:adjustRightInd/>
        <w:snapToGrid/>
        <w:spacing w:line="43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3.5.6 投标人须知前附表规定接受联合体投标的，本章第3.5.1项至第3.5.5项规定的表格和资料应包括联合体各方相关情况。</w:t>
      </w:r>
    </w:p>
    <w:p>
      <w:pPr>
        <w:keepNext w:val="0"/>
        <w:keepLines w:val="0"/>
        <w:pageBreakBefore w:val="0"/>
        <w:widowControl/>
        <w:shd w:val="clear" w:fill="auto"/>
        <w:kinsoku/>
        <w:wordWrap/>
        <w:overflowPunct/>
        <w:topLinePunct w:val="0"/>
        <w:autoSpaceDE w:val="0"/>
        <w:autoSpaceDN w:val="0"/>
        <w:bidi w:val="0"/>
        <w:adjustRightInd/>
        <w:snapToGrid/>
        <w:spacing w:line="430" w:lineRule="exact"/>
        <w:jc w:val="left"/>
        <w:textAlignment w:val="auto"/>
        <w:rPr>
          <w:rFonts w:hint="eastAsia" w:ascii="宋体" w:hAnsi="宋体" w:eastAsia="宋体" w:cs="宋体"/>
          <w:b/>
          <w:color w:val="auto"/>
          <w:kern w:val="0"/>
          <w:sz w:val="21"/>
          <w:szCs w:val="20"/>
          <w:highlight w:val="none"/>
        </w:rPr>
      </w:pPr>
      <w:bookmarkStart w:id="132" w:name="_Toc279505621"/>
      <w:bookmarkStart w:id="133" w:name="_Toc286069522"/>
      <w:bookmarkStart w:id="134" w:name="_Toc360629050"/>
      <w:bookmarkStart w:id="135" w:name="_Toc247639862"/>
      <w:bookmarkStart w:id="136" w:name="_Toc286063259"/>
      <w:r>
        <w:rPr>
          <w:rFonts w:hint="eastAsia" w:ascii="宋体" w:hAnsi="宋体" w:eastAsia="宋体" w:cs="宋体"/>
          <w:b/>
          <w:color w:val="auto"/>
          <w:kern w:val="0"/>
          <w:sz w:val="21"/>
          <w:szCs w:val="20"/>
          <w:highlight w:val="none"/>
        </w:rPr>
        <w:t>3.6 备选投标方案</w:t>
      </w:r>
      <w:bookmarkEnd w:id="132"/>
      <w:bookmarkEnd w:id="133"/>
      <w:bookmarkEnd w:id="134"/>
      <w:bookmarkEnd w:id="135"/>
      <w:bookmarkEnd w:id="136"/>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0"/>
          <w:highlight w:val="none"/>
        </w:rPr>
      </w:pPr>
      <w:bookmarkStart w:id="137" w:name="_Toc360629051"/>
      <w:bookmarkStart w:id="138" w:name="_Toc286069523"/>
      <w:bookmarkStart w:id="139" w:name="_Toc286063260"/>
      <w:bookmarkStart w:id="140" w:name="_Toc279505622"/>
      <w:bookmarkStart w:id="141" w:name="_Toc247639863"/>
      <w:r>
        <w:rPr>
          <w:rFonts w:hint="eastAsia" w:ascii="宋体" w:hAnsi="宋体" w:eastAsia="宋体" w:cs="宋体"/>
          <w:color w:val="auto"/>
          <w:kern w:val="0"/>
          <w:sz w:val="21"/>
          <w:szCs w:val="20"/>
          <w:highlight w:val="none"/>
        </w:rPr>
        <w:t>投标人不得递交备选投标方案。</w:t>
      </w:r>
      <w:bookmarkEnd w:id="137"/>
    </w:p>
    <w:p>
      <w:pPr>
        <w:keepNext w:val="0"/>
        <w:keepLines w:val="0"/>
        <w:pageBreakBefore w:val="0"/>
        <w:widowControl/>
        <w:shd w:val="clear" w:fill="auto"/>
        <w:kinsoku/>
        <w:wordWrap/>
        <w:overflowPunct/>
        <w:topLinePunct w:val="0"/>
        <w:autoSpaceDE w:val="0"/>
        <w:autoSpaceDN w:val="0"/>
        <w:bidi w:val="0"/>
        <w:adjustRightInd/>
        <w:snapToGrid/>
        <w:spacing w:line="430" w:lineRule="exact"/>
        <w:jc w:val="left"/>
        <w:textAlignment w:val="auto"/>
        <w:rPr>
          <w:rFonts w:hint="eastAsia" w:ascii="宋体" w:hAnsi="宋体" w:eastAsia="宋体" w:cs="宋体"/>
          <w:b/>
          <w:color w:val="auto"/>
          <w:kern w:val="0"/>
          <w:sz w:val="21"/>
          <w:szCs w:val="20"/>
          <w:highlight w:val="none"/>
        </w:rPr>
      </w:pPr>
      <w:bookmarkStart w:id="142" w:name="_Toc360629052"/>
      <w:r>
        <w:rPr>
          <w:rFonts w:hint="eastAsia" w:ascii="宋体" w:hAnsi="宋体" w:eastAsia="宋体" w:cs="宋体"/>
          <w:b/>
          <w:color w:val="auto"/>
          <w:kern w:val="0"/>
          <w:sz w:val="21"/>
          <w:szCs w:val="20"/>
          <w:highlight w:val="none"/>
        </w:rPr>
        <w:t>3.7 投标文件的编制</w:t>
      </w:r>
      <w:bookmarkEnd w:id="138"/>
      <w:bookmarkEnd w:id="139"/>
      <w:bookmarkEnd w:id="140"/>
      <w:bookmarkEnd w:id="141"/>
      <w:bookmarkEnd w:id="142"/>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3.7.1 投标文件应按第</w:t>
      </w:r>
      <w:r>
        <w:rPr>
          <w:rFonts w:hint="eastAsia" w:ascii="宋体" w:hAnsi="宋体" w:cs="宋体"/>
          <w:color w:val="auto"/>
          <w:kern w:val="0"/>
          <w:sz w:val="21"/>
          <w:szCs w:val="20"/>
          <w:highlight w:val="none"/>
          <w:lang w:eastAsia="zh-CN"/>
        </w:rPr>
        <w:t>九</w:t>
      </w:r>
      <w:r>
        <w:rPr>
          <w:rFonts w:hint="eastAsia" w:ascii="宋体" w:hAnsi="宋体" w:eastAsia="宋体" w:cs="宋体"/>
          <w:color w:val="auto"/>
          <w:kern w:val="0"/>
          <w:sz w:val="21"/>
          <w:szCs w:val="20"/>
          <w:highlight w:val="none"/>
        </w:rPr>
        <w:t>章“投标文件格式”进行编写，如有必要，可以增加附页，作为投标文件的组成部分。其中，投标函附录在满足招标文件实质性要求的基础上，可以提出比招标文件要求更有利于招标人的承诺。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3.7.2 投标文件应当对招标文件有关工期、投标有效期、质量要求、技术标准和要求、招标范围等实质性内容作出响应。</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3.7.3 投标文件全部采用电子文档，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keepNext w:val="0"/>
        <w:keepLines w:val="0"/>
        <w:pageBreakBefore w:val="0"/>
        <w:widowControl/>
        <w:shd w:val="clear" w:fill="auto"/>
        <w:kinsoku/>
        <w:wordWrap/>
        <w:overflowPunct/>
        <w:topLinePunct w:val="0"/>
        <w:autoSpaceDN w:val="0"/>
        <w:bidi w:val="0"/>
        <w:adjustRightInd/>
        <w:snapToGrid/>
        <w:spacing w:line="430" w:lineRule="exact"/>
        <w:jc w:val="both"/>
        <w:textAlignment w:val="auto"/>
        <w:outlineLvl w:val="1"/>
        <w:rPr>
          <w:rFonts w:hint="eastAsia" w:ascii="宋体" w:hAnsi="宋体" w:eastAsia="宋体" w:cs="宋体"/>
          <w:b/>
          <w:color w:val="auto"/>
          <w:kern w:val="0"/>
          <w:sz w:val="21"/>
          <w:szCs w:val="21"/>
          <w:highlight w:val="none"/>
        </w:rPr>
      </w:pPr>
      <w:bookmarkStart w:id="143" w:name="_Toc2535"/>
      <w:bookmarkStart w:id="144" w:name="_Toc31647"/>
      <w:bookmarkStart w:id="145" w:name="_Toc5780"/>
      <w:bookmarkStart w:id="146" w:name="_Toc22934"/>
      <w:bookmarkStart w:id="147" w:name="_Toc9215"/>
      <w:bookmarkStart w:id="148" w:name="_Toc486931298"/>
      <w:bookmarkStart w:id="149" w:name="_Toc32501"/>
      <w:bookmarkStart w:id="150" w:name="_Toc247639864"/>
      <w:bookmarkStart w:id="151" w:name="_Toc360629053"/>
      <w:bookmarkStart w:id="152" w:name="_Toc3363"/>
      <w:r>
        <w:rPr>
          <w:rFonts w:hint="eastAsia" w:ascii="宋体" w:hAnsi="宋体" w:eastAsia="宋体" w:cs="宋体"/>
          <w:b/>
          <w:color w:val="auto"/>
          <w:kern w:val="0"/>
          <w:sz w:val="21"/>
          <w:szCs w:val="21"/>
          <w:highlight w:val="none"/>
        </w:rPr>
        <w:t>4. 投标</w:t>
      </w:r>
      <w:bookmarkEnd w:id="143"/>
      <w:bookmarkEnd w:id="144"/>
      <w:bookmarkEnd w:id="145"/>
      <w:bookmarkEnd w:id="146"/>
      <w:bookmarkEnd w:id="147"/>
      <w:bookmarkEnd w:id="148"/>
      <w:bookmarkEnd w:id="149"/>
      <w:bookmarkEnd w:id="150"/>
      <w:bookmarkEnd w:id="151"/>
      <w:bookmarkEnd w:id="152"/>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2" w:firstLineChars="200"/>
        <w:jc w:val="left"/>
        <w:textAlignment w:val="auto"/>
        <w:rPr>
          <w:rFonts w:hint="eastAsia" w:ascii="宋体" w:hAnsi="宋体" w:eastAsia="宋体" w:cs="宋体"/>
          <w:b/>
          <w:color w:val="auto"/>
          <w:kern w:val="0"/>
          <w:sz w:val="21"/>
          <w:szCs w:val="20"/>
          <w:highlight w:val="none"/>
        </w:rPr>
      </w:pPr>
      <w:bookmarkStart w:id="153" w:name="_Toc247639865"/>
      <w:bookmarkStart w:id="154" w:name="_Toc286063262"/>
      <w:bookmarkStart w:id="155" w:name="_Toc360629054"/>
      <w:bookmarkStart w:id="156" w:name="_Toc279505624"/>
      <w:bookmarkStart w:id="157" w:name="_Toc286069525"/>
      <w:r>
        <w:rPr>
          <w:rFonts w:hint="eastAsia" w:ascii="宋体" w:hAnsi="宋体" w:eastAsia="宋体" w:cs="宋体"/>
          <w:b/>
          <w:color w:val="auto"/>
          <w:kern w:val="0"/>
          <w:sz w:val="21"/>
          <w:szCs w:val="20"/>
          <w:highlight w:val="none"/>
        </w:rPr>
        <w:t>4.1 投标文件的密封和标记</w:t>
      </w:r>
      <w:bookmarkEnd w:id="153"/>
      <w:bookmarkEnd w:id="154"/>
      <w:bookmarkEnd w:id="155"/>
      <w:bookmarkEnd w:id="156"/>
      <w:bookmarkEnd w:id="157"/>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2"/>
          <w:highlight w:val="none"/>
        </w:rPr>
      </w:pPr>
      <w:bookmarkStart w:id="158" w:name="_Toc360629055"/>
      <w:bookmarkStart w:id="159" w:name="_Toc279505625"/>
      <w:bookmarkStart w:id="160" w:name="_Toc247639866"/>
      <w:bookmarkStart w:id="161" w:name="_Toc286069526"/>
      <w:bookmarkStart w:id="162" w:name="_Toc286063263"/>
      <w:r>
        <w:rPr>
          <w:rFonts w:hint="eastAsia" w:ascii="宋体" w:hAnsi="宋体" w:eastAsia="宋体" w:cs="宋体"/>
          <w:color w:val="auto"/>
          <w:kern w:val="0"/>
          <w:sz w:val="21"/>
          <w:szCs w:val="22"/>
          <w:highlight w:val="none"/>
        </w:rPr>
        <w:t>4.1.1投标人应当按照招标文件和电子招标投标交易平台的要求加密投标文件，具体要求见投标人须知前附表。</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4.1.2未按本章第 4.1.1 项要求密封的投标文件，招标人将予以拒收。</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2" w:firstLineChars="200"/>
        <w:jc w:val="left"/>
        <w:textAlignment w:val="auto"/>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4.2 投标文件的递交</w:t>
      </w:r>
      <w:bookmarkEnd w:id="158"/>
      <w:bookmarkEnd w:id="159"/>
      <w:bookmarkEnd w:id="160"/>
      <w:bookmarkEnd w:id="161"/>
      <w:bookmarkEnd w:id="162"/>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4.2.1 投标人应在本章第2.2.2 项规定的投标截止时间前递交投标文件。</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4.2.2 投标人通过下载招标文件的电子招标投标交易平台递交电子投标文件。</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4.2.3 除投标人须知前附表另有规定外，投标人所递交的投标文件不予退还。</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4.2.4投标人完成电子投标文件上传后，电子招标投标交易平台即时向投标人发出递交回执通知。递交时间以递交回执通知载明的传输完成时间为准。</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4.2.5逾期送达的投标文件，电子招标投标交易平台将予以拒收。</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2" w:firstLineChars="200"/>
        <w:jc w:val="left"/>
        <w:textAlignment w:val="auto"/>
        <w:rPr>
          <w:rFonts w:hint="eastAsia" w:ascii="宋体" w:hAnsi="宋体" w:eastAsia="宋体" w:cs="宋体"/>
          <w:b/>
          <w:color w:val="auto"/>
          <w:kern w:val="0"/>
          <w:sz w:val="21"/>
          <w:szCs w:val="20"/>
          <w:highlight w:val="none"/>
        </w:rPr>
      </w:pPr>
      <w:bookmarkStart w:id="163" w:name="_Toc279505626"/>
      <w:bookmarkStart w:id="164" w:name="_Toc286069527"/>
      <w:bookmarkStart w:id="165" w:name="_Toc286063264"/>
      <w:bookmarkStart w:id="166" w:name="_Toc247639867"/>
      <w:bookmarkStart w:id="167" w:name="_Toc360629056"/>
      <w:r>
        <w:rPr>
          <w:rFonts w:hint="eastAsia" w:ascii="宋体" w:hAnsi="宋体" w:eastAsia="宋体" w:cs="宋体"/>
          <w:b/>
          <w:color w:val="auto"/>
          <w:kern w:val="0"/>
          <w:sz w:val="21"/>
          <w:szCs w:val="20"/>
          <w:highlight w:val="none"/>
        </w:rPr>
        <w:t>4.3 投标文件的修改与撤回</w:t>
      </w:r>
      <w:bookmarkEnd w:id="163"/>
      <w:bookmarkEnd w:id="164"/>
      <w:bookmarkEnd w:id="165"/>
      <w:bookmarkEnd w:id="166"/>
      <w:bookmarkEnd w:id="167"/>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4.3.1 在本章第2.2.2 项规定的投标截止时间前，投标人可以修改或撤回已递交的投标文件，但应以书面形式通知招标人。</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4.3.2投标人修改或撤回已递交投标文件的通知，应按照本章第 3.7.3项的要求加盖电子印章。电子招标投标交易平台收到通知后，即时向投标人发出确认回执通知。</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4.3.3投标人撤回投标文件的，招标人自收到投标人书面撤回通知之日起 5 日内退还已收取的投标保证金。</w:t>
      </w:r>
    </w:p>
    <w:p>
      <w:pPr>
        <w:keepNext w:val="0"/>
        <w:keepLines w:val="0"/>
        <w:pageBreakBefore w:val="0"/>
        <w:widowControl/>
        <w:shd w:val="clear" w:fill="auto"/>
        <w:kinsoku/>
        <w:wordWrap/>
        <w:overflowPunct/>
        <w:topLinePunct w:val="0"/>
        <w:autoSpaceDN w:val="0"/>
        <w:bidi w:val="0"/>
        <w:adjustRightInd/>
        <w:snapToGrid/>
        <w:spacing w:line="430" w:lineRule="exact"/>
        <w:jc w:val="both"/>
        <w:textAlignment w:val="auto"/>
        <w:outlineLvl w:val="1"/>
        <w:rPr>
          <w:rFonts w:hint="eastAsia" w:ascii="宋体" w:hAnsi="宋体" w:eastAsia="宋体" w:cs="宋体"/>
          <w:b/>
          <w:color w:val="auto"/>
          <w:kern w:val="0"/>
          <w:sz w:val="21"/>
          <w:szCs w:val="21"/>
          <w:highlight w:val="none"/>
        </w:rPr>
      </w:pPr>
      <w:bookmarkStart w:id="168" w:name="_Toc7714"/>
      <w:bookmarkStart w:id="169" w:name="_Toc29314"/>
      <w:bookmarkStart w:id="170" w:name="_Toc486931299"/>
      <w:bookmarkStart w:id="171" w:name="_Toc31023"/>
      <w:bookmarkStart w:id="172" w:name="_Toc247639868"/>
      <w:bookmarkStart w:id="173" w:name="_Toc16029"/>
      <w:bookmarkStart w:id="174" w:name="_Toc15469"/>
      <w:bookmarkStart w:id="175" w:name="_Toc23061"/>
      <w:bookmarkStart w:id="176" w:name="_Toc22299"/>
      <w:bookmarkStart w:id="177" w:name="_Toc360629057"/>
      <w:bookmarkStart w:id="178" w:name="_Toc286063266"/>
      <w:bookmarkStart w:id="179" w:name="_Toc279505628"/>
      <w:bookmarkStart w:id="180" w:name="_Toc360629058"/>
      <w:bookmarkStart w:id="181" w:name="_Toc286069529"/>
      <w:bookmarkStart w:id="182" w:name="_Toc247639869"/>
      <w:r>
        <w:rPr>
          <w:rFonts w:hint="eastAsia" w:ascii="宋体" w:hAnsi="宋体" w:eastAsia="宋体" w:cs="宋体"/>
          <w:b/>
          <w:color w:val="auto"/>
          <w:kern w:val="0"/>
          <w:sz w:val="21"/>
          <w:szCs w:val="21"/>
          <w:highlight w:val="none"/>
        </w:rPr>
        <w:t>5. 开标</w:t>
      </w:r>
      <w:bookmarkEnd w:id="168"/>
      <w:bookmarkEnd w:id="169"/>
      <w:bookmarkEnd w:id="170"/>
      <w:bookmarkEnd w:id="171"/>
      <w:bookmarkEnd w:id="172"/>
      <w:bookmarkEnd w:id="173"/>
      <w:bookmarkEnd w:id="174"/>
      <w:bookmarkEnd w:id="175"/>
      <w:bookmarkEnd w:id="176"/>
      <w:bookmarkEnd w:id="177"/>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2" w:firstLineChars="200"/>
        <w:jc w:val="left"/>
        <w:textAlignment w:val="auto"/>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5.1 开标时间和地点</w:t>
      </w:r>
      <w:bookmarkEnd w:id="178"/>
      <w:bookmarkEnd w:id="179"/>
      <w:bookmarkEnd w:id="180"/>
      <w:bookmarkEnd w:id="181"/>
      <w:bookmarkEnd w:id="182"/>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b w:val="0"/>
          <w:bCs/>
          <w:color w:val="auto"/>
          <w:kern w:val="0"/>
          <w:sz w:val="21"/>
          <w:szCs w:val="20"/>
          <w:highlight w:val="none"/>
        </w:rPr>
      </w:pPr>
      <w:bookmarkStart w:id="183" w:name="_Toc279505629"/>
      <w:bookmarkStart w:id="184" w:name="_Toc360629059"/>
      <w:bookmarkStart w:id="185" w:name="_Toc286069530"/>
      <w:bookmarkStart w:id="186" w:name="_Toc286063267"/>
      <w:bookmarkStart w:id="187" w:name="_Toc247639870"/>
      <w:r>
        <w:rPr>
          <w:rFonts w:hint="eastAsia" w:ascii="宋体" w:hAnsi="宋体" w:eastAsia="宋体" w:cs="宋体"/>
          <w:b w:val="0"/>
          <w:bCs/>
          <w:color w:val="auto"/>
          <w:kern w:val="0"/>
          <w:sz w:val="21"/>
          <w:szCs w:val="20"/>
          <w:highlight w:val="none"/>
        </w:rPr>
        <w:t>招标人在本章第4.2.1项规定的投标截止时间（开标时间）,通过</w:t>
      </w:r>
      <w:r>
        <w:rPr>
          <w:rFonts w:hint="eastAsia" w:ascii="宋体" w:hAnsi="宋体" w:eastAsia="宋体" w:cs="宋体"/>
          <w:color w:val="auto"/>
          <w:kern w:val="0"/>
          <w:sz w:val="21"/>
          <w:szCs w:val="21"/>
          <w:highlight w:val="none"/>
          <w:lang w:val="en-US" w:eastAsia="zh-CN"/>
        </w:rPr>
        <w:t>公共资源交易中心</w:t>
      </w:r>
      <w:r>
        <w:rPr>
          <w:rFonts w:hint="eastAsia" w:ascii="宋体" w:hAnsi="宋体" w:eastAsia="宋体" w:cs="宋体"/>
          <w:color w:val="auto"/>
          <w:kern w:val="0"/>
          <w:sz w:val="21"/>
          <w:szCs w:val="21"/>
          <w:highlight w:val="none"/>
        </w:rPr>
        <w:t>电子</w:t>
      </w:r>
      <w:r>
        <w:rPr>
          <w:rFonts w:hint="eastAsia" w:ascii="宋体" w:hAnsi="宋体" w:eastAsia="宋体" w:cs="宋体"/>
          <w:color w:val="auto"/>
          <w:kern w:val="0"/>
          <w:sz w:val="21"/>
          <w:szCs w:val="21"/>
          <w:highlight w:val="none"/>
          <w:lang w:val="en-US" w:eastAsia="zh-CN"/>
        </w:rPr>
        <w:t>招投标</w:t>
      </w:r>
      <w:r>
        <w:rPr>
          <w:rFonts w:hint="eastAsia" w:ascii="宋体" w:hAnsi="宋体" w:eastAsia="宋体" w:cs="宋体"/>
          <w:color w:val="auto"/>
          <w:kern w:val="0"/>
          <w:sz w:val="21"/>
          <w:szCs w:val="21"/>
          <w:highlight w:val="none"/>
        </w:rPr>
        <w:t>系统</w:t>
      </w:r>
      <w:r>
        <w:rPr>
          <w:rFonts w:hint="eastAsia" w:ascii="宋体" w:hAnsi="宋体" w:eastAsia="宋体" w:cs="宋体"/>
          <w:b w:val="0"/>
          <w:bCs/>
          <w:color w:val="auto"/>
          <w:kern w:val="0"/>
          <w:sz w:val="21"/>
          <w:szCs w:val="20"/>
          <w:highlight w:val="none"/>
        </w:rPr>
        <w:t>公开开标，所有投标人的法定代表人或其委托代理人应当准时参加。</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2" w:firstLineChars="200"/>
        <w:jc w:val="left"/>
        <w:textAlignment w:val="auto"/>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5.2 开标程序</w:t>
      </w:r>
      <w:bookmarkEnd w:id="183"/>
      <w:bookmarkEnd w:id="184"/>
      <w:bookmarkEnd w:id="185"/>
      <w:bookmarkEnd w:id="186"/>
      <w:bookmarkEnd w:id="187"/>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主持人按下列程序进行开标：</w:t>
      </w:r>
    </w:p>
    <w:p>
      <w:pPr>
        <w:keepNext w:val="0"/>
        <w:keepLines w:val="0"/>
        <w:pageBreakBefore w:val="0"/>
        <w:shd w:val="clear" w:fill="auto"/>
        <w:kinsoku/>
        <w:wordWrap/>
        <w:overflowPunct/>
        <w:topLinePunct w:val="0"/>
        <w:bidi w:val="0"/>
        <w:adjustRightInd/>
        <w:snapToGrid/>
        <w:spacing w:line="430" w:lineRule="exact"/>
        <w:ind w:firstLine="420" w:firstLineChars="200"/>
        <w:contextualSpacing/>
        <w:textAlignment w:val="auto"/>
        <w:rPr>
          <w:rFonts w:ascii="宋体" w:hAnsi="宋体"/>
          <w:szCs w:val="24"/>
          <w:highlight w:val="none"/>
        </w:rPr>
      </w:pPr>
      <w:bookmarkStart w:id="188" w:name="_Toc28509"/>
      <w:bookmarkStart w:id="189" w:name="_Toc486931300"/>
      <w:bookmarkStart w:id="190" w:name="_Toc176"/>
      <w:bookmarkStart w:id="191" w:name="_Toc247639871"/>
      <w:bookmarkStart w:id="192" w:name="_Toc22351"/>
      <w:bookmarkStart w:id="193" w:name="_Toc360629060"/>
      <w:r>
        <w:rPr>
          <w:rFonts w:hint="eastAsia" w:ascii="宋体" w:hAnsi="宋体"/>
          <w:szCs w:val="24"/>
          <w:highlight w:val="none"/>
        </w:rPr>
        <w:t>5.2.1 本项目采用电子开标。</w:t>
      </w:r>
    </w:p>
    <w:p>
      <w:pPr>
        <w:keepNext w:val="0"/>
        <w:keepLines w:val="0"/>
        <w:pageBreakBefore w:val="0"/>
        <w:shd w:val="clear" w:fill="auto"/>
        <w:kinsoku/>
        <w:wordWrap/>
        <w:overflowPunct/>
        <w:topLinePunct w:val="0"/>
        <w:bidi w:val="0"/>
        <w:adjustRightInd/>
        <w:snapToGrid/>
        <w:spacing w:line="430" w:lineRule="exact"/>
        <w:ind w:firstLine="420" w:firstLineChars="200"/>
        <w:contextualSpacing/>
        <w:textAlignment w:val="auto"/>
        <w:rPr>
          <w:rFonts w:ascii="宋体" w:hAnsi="宋体"/>
          <w:szCs w:val="24"/>
          <w:highlight w:val="none"/>
        </w:rPr>
      </w:pPr>
      <w:r>
        <w:rPr>
          <w:rFonts w:hint="eastAsia" w:ascii="宋体" w:hAnsi="宋体"/>
          <w:szCs w:val="24"/>
          <w:highlight w:val="none"/>
        </w:rPr>
        <w:t>5.2.2本项目采用远程不见面开标方式，请各投标人在招标文件确定的投标截止时间前，登录远程开标大厅，在线准时参加开标活动并在规定时间内进行投标文件解密。在规定时间内投标文件未解密的投标人，视为放弃投标。</w:t>
      </w:r>
    </w:p>
    <w:p>
      <w:pPr>
        <w:keepNext w:val="0"/>
        <w:keepLines w:val="0"/>
        <w:pageBreakBefore w:val="0"/>
        <w:shd w:val="clear" w:fill="auto"/>
        <w:kinsoku/>
        <w:wordWrap/>
        <w:overflowPunct/>
        <w:topLinePunct w:val="0"/>
        <w:bidi w:val="0"/>
        <w:adjustRightInd/>
        <w:snapToGrid/>
        <w:spacing w:line="430" w:lineRule="exact"/>
        <w:ind w:firstLine="420" w:firstLineChars="200"/>
        <w:contextualSpacing/>
        <w:textAlignment w:val="auto"/>
        <w:rPr>
          <w:rFonts w:ascii="宋体" w:hAnsi="宋体"/>
          <w:szCs w:val="24"/>
          <w:highlight w:val="none"/>
        </w:rPr>
      </w:pPr>
      <w:r>
        <w:rPr>
          <w:rFonts w:hint="eastAsia" w:ascii="宋体" w:hAnsi="宋体"/>
          <w:szCs w:val="24"/>
          <w:highlight w:val="none"/>
        </w:rPr>
        <w:t>5.2.3 因加密电子投标文件未能成功上传或误传而导致的解密失败，投标将被拒绝。</w:t>
      </w:r>
    </w:p>
    <w:p>
      <w:pPr>
        <w:keepNext w:val="0"/>
        <w:keepLines w:val="0"/>
        <w:pageBreakBefore w:val="0"/>
        <w:shd w:val="clear" w:fill="auto"/>
        <w:kinsoku/>
        <w:wordWrap/>
        <w:overflowPunct/>
        <w:topLinePunct w:val="0"/>
        <w:bidi w:val="0"/>
        <w:adjustRightInd/>
        <w:snapToGrid/>
        <w:spacing w:line="430" w:lineRule="exact"/>
        <w:ind w:firstLine="420" w:firstLineChars="200"/>
        <w:contextualSpacing/>
        <w:textAlignment w:val="auto"/>
        <w:rPr>
          <w:rFonts w:ascii="宋体" w:hAnsi="宋体" w:cs="宋体"/>
          <w:szCs w:val="21"/>
          <w:highlight w:val="none"/>
        </w:rPr>
      </w:pPr>
      <w:r>
        <w:rPr>
          <w:rFonts w:hint="eastAsia" w:ascii="宋体" w:hAnsi="宋体"/>
          <w:szCs w:val="24"/>
          <w:highlight w:val="none"/>
        </w:rPr>
        <w:t>5</w:t>
      </w:r>
      <w:r>
        <w:rPr>
          <w:rFonts w:ascii="宋体" w:hAnsi="宋体"/>
          <w:szCs w:val="24"/>
          <w:highlight w:val="none"/>
        </w:rPr>
        <w:t>.2.4</w:t>
      </w:r>
      <w:r>
        <w:rPr>
          <w:rFonts w:hint="eastAsia" w:ascii="宋体" w:hAnsi="宋体" w:cs="宋体"/>
          <w:szCs w:val="21"/>
          <w:highlight w:val="none"/>
        </w:rPr>
        <w:t>开标主要程序见投标人须知前附表。</w:t>
      </w:r>
    </w:p>
    <w:p>
      <w:pPr>
        <w:keepNext w:val="0"/>
        <w:keepLines w:val="0"/>
        <w:pageBreakBefore w:val="0"/>
        <w:widowControl/>
        <w:shd w:val="clear" w:fill="auto"/>
        <w:kinsoku/>
        <w:wordWrap/>
        <w:overflowPunct/>
        <w:topLinePunct w:val="0"/>
        <w:autoSpaceDN w:val="0"/>
        <w:bidi w:val="0"/>
        <w:adjustRightInd/>
        <w:snapToGrid/>
        <w:spacing w:line="430" w:lineRule="exact"/>
        <w:jc w:val="both"/>
        <w:textAlignment w:val="auto"/>
        <w:outlineLvl w:val="1"/>
        <w:rPr>
          <w:rFonts w:hint="eastAsia" w:ascii="宋体" w:hAnsi="宋体" w:eastAsia="宋体" w:cs="宋体"/>
          <w:b/>
          <w:color w:val="auto"/>
          <w:kern w:val="0"/>
          <w:sz w:val="21"/>
          <w:szCs w:val="21"/>
          <w:highlight w:val="none"/>
        </w:rPr>
      </w:pPr>
      <w:bookmarkStart w:id="194" w:name="_Toc18099"/>
      <w:bookmarkStart w:id="195" w:name="_Toc30259"/>
      <w:bookmarkStart w:id="196" w:name="_Toc18565"/>
      <w:bookmarkStart w:id="197" w:name="_Toc29813"/>
      <w:r>
        <w:rPr>
          <w:rFonts w:hint="eastAsia" w:ascii="宋体" w:hAnsi="宋体" w:eastAsia="宋体" w:cs="宋体"/>
          <w:b/>
          <w:color w:val="auto"/>
          <w:kern w:val="0"/>
          <w:sz w:val="21"/>
          <w:szCs w:val="21"/>
          <w:highlight w:val="none"/>
        </w:rPr>
        <w:t>6. 评标</w:t>
      </w:r>
      <w:bookmarkEnd w:id="188"/>
      <w:bookmarkEnd w:id="189"/>
      <w:bookmarkEnd w:id="190"/>
      <w:bookmarkEnd w:id="191"/>
      <w:bookmarkEnd w:id="192"/>
      <w:bookmarkEnd w:id="193"/>
      <w:bookmarkEnd w:id="194"/>
      <w:bookmarkEnd w:id="195"/>
      <w:bookmarkEnd w:id="196"/>
      <w:bookmarkEnd w:id="197"/>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2" w:firstLineChars="200"/>
        <w:jc w:val="left"/>
        <w:textAlignment w:val="auto"/>
        <w:rPr>
          <w:rFonts w:hint="eastAsia" w:ascii="宋体" w:hAnsi="宋体" w:eastAsia="宋体" w:cs="宋体"/>
          <w:b/>
          <w:color w:val="auto"/>
          <w:kern w:val="0"/>
          <w:sz w:val="21"/>
          <w:szCs w:val="20"/>
          <w:highlight w:val="none"/>
        </w:rPr>
      </w:pPr>
      <w:bookmarkStart w:id="198" w:name="_Toc279505631"/>
      <w:bookmarkStart w:id="199" w:name="_Toc286063269"/>
      <w:bookmarkStart w:id="200" w:name="_Toc286069532"/>
      <w:bookmarkStart w:id="201" w:name="_Toc247639872"/>
      <w:bookmarkStart w:id="202" w:name="_Toc360629061"/>
      <w:r>
        <w:rPr>
          <w:rFonts w:hint="eastAsia" w:ascii="宋体" w:hAnsi="宋体" w:eastAsia="宋体" w:cs="宋体"/>
          <w:b/>
          <w:color w:val="auto"/>
          <w:kern w:val="0"/>
          <w:sz w:val="21"/>
          <w:szCs w:val="20"/>
          <w:highlight w:val="none"/>
        </w:rPr>
        <w:t>6.1 评标委员会</w:t>
      </w:r>
      <w:bookmarkEnd w:id="198"/>
      <w:bookmarkEnd w:id="199"/>
      <w:bookmarkEnd w:id="200"/>
      <w:bookmarkEnd w:id="201"/>
      <w:bookmarkEnd w:id="202"/>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6.1.2 评标委员会成员有下列情形之一的，应当回避：</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（1）招标人或投标人的主要负责人的近亲属；</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（2）项目主管部门或者行政监督部门的人员；</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（3）与投标人有经济利益关系，可能影响对投标公正评审的；</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（4）曾因在招标、评标以及其他与招标投标有关活动中从事违法行为而受过行政处罚或刑事处罚的。</w:t>
      </w:r>
    </w:p>
    <w:p>
      <w:pPr>
        <w:keepNext w:val="0"/>
        <w:keepLines w:val="0"/>
        <w:pageBreakBefore w:val="0"/>
        <w:widowControl/>
        <w:shd w:val="clear" w:fill="auto"/>
        <w:kinsoku/>
        <w:wordWrap/>
        <w:overflowPunct/>
        <w:topLinePunct w:val="0"/>
        <w:autoSpaceDE/>
        <w:autoSpaceDN/>
        <w:bidi w:val="0"/>
        <w:adjustRightInd/>
        <w:snapToGrid/>
        <w:spacing w:line="430" w:lineRule="exact"/>
        <w:ind w:firstLine="420" w:firstLineChars="200"/>
        <w:jc w:val="left"/>
        <w:textAlignment w:val="auto"/>
        <w:rPr>
          <w:rFonts w:hint="eastAsia" w:ascii="宋体" w:hAnsi="宋体" w:eastAsia="宋体" w:cs="宋体"/>
          <w:kern w:val="0"/>
          <w:sz w:val="21"/>
          <w:szCs w:val="21"/>
          <w:highlight w:val="none"/>
        </w:rPr>
      </w:pPr>
      <w:bookmarkStart w:id="203" w:name="_Toc247639873"/>
      <w:bookmarkStart w:id="204" w:name="_Toc286063270"/>
      <w:bookmarkStart w:id="205" w:name="_Toc286069533"/>
      <w:bookmarkStart w:id="206" w:name="_Toc360629062"/>
      <w:bookmarkStart w:id="207" w:name="_Toc279505632"/>
      <w:r>
        <w:rPr>
          <w:rFonts w:hint="eastAsia" w:ascii="宋体" w:hAnsi="宋体" w:eastAsia="宋体" w:cs="宋体"/>
          <w:kern w:val="0"/>
          <w:sz w:val="21"/>
          <w:szCs w:val="21"/>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2" w:firstLineChars="200"/>
        <w:jc w:val="left"/>
        <w:textAlignment w:val="auto"/>
        <w:rPr>
          <w:rFonts w:hint="eastAsia"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6.2 评标原则</w:t>
      </w:r>
      <w:bookmarkEnd w:id="203"/>
      <w:bookmarkEnd w:id="204"/>
      <w:bookmarkEnd w:id="205"/>
      <w:bookmarkEnd w:id="206"/>
      <w:bookmarkEnd w:id="207"/>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评标活动遵循公平、公正、科学和择优的原则。</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2" w:firstLineChars="200"/>
        <w:jc w:val="left"/>
        <w:textAlignment w:val="auto"/>
        <w:rPr>
          <w:rFonts w:hint="eastAsia" w:ascii="宋体" w:hAnsi="宋体" w:eastAsia="宋体" w:cs="宋体"/>
          <w:b/>
          <w:color w:val="auto"/>
          <w:kern w:val="0"/>
          <w:sz w:val="21"/>
          <w:szCs w:val="20"/>
          <w:highlight w:val="none"/>
        </w:rPr>
      </w:pPr>
      <w:bookmarkStart w:id="208" w:name="_Toc279505633"/>
      <w:bookmarkStart w:id="209" w:name="_Toc286063271"/>
      <w:bookmarkStart w:id="210" w:name="_Toc360629063"/>
      <w:bookmarkStart w:id="211" w:name="_Toc247639874"/>
      <w:bookmarkStart w:id="212" w:name="_Toc286069534"/>
      <w:r>
        <w:rPr>
          <w:rFonts w:hint="eastAsia" w:ascii="宋体" w:hAnsi="宋体" w:eastAsia="宋体" w:cs="宋体"/>
          <w:b/>
          <w:color w:val="auto"/>
          <w:kern w:val="0"/>
          <w:sz w:val="21"/>
          <w:szCs w:val="20"/>
          <w:highlight w:val="none"/>
        </w:rPr>
        <w:t>6.3 评标</w:t>
      </w:r>
      <w:bookmarkEnd w:id="208"/>
      <w:bookmarkEnd w:id="209"/>
      <w:bookmarkEnd w:id="210"/>
      <w:bookmarkEnd w:id="211"/>
      <w:bookmarkEnd w:id="212"/>
    </w:p>
    <w:p>
      <w:pPr>
        <w:keepNext w:val="0"/>
        <w:keepLines w:val="0"/>
        <w:pageBreakBefore w:val="0"/>
        <w:widowControl/>
        <w:shd w:val="clear" w:fill="auto"/>
        <w:tabs>
          <w:tab w:val="left" w:pos="895"/>
        </w:tabs>
        <w:kinsoku/>
        <w:wordWrap/>
        <w:overflowPunct/>
        <w:topLinePunct w:val="0"/>
        <w:autoSpaceDE/>
        <w:autoSpaceDN/>
        <w:bidi w:val="0"/>
        <w:adjustRightInd/>
        <w:snapToGrid/>
        <w:spacing w:line="430" w:lineRule="exact"/>
        <w:ind w:firstLine="420" w:firstLineChars="200"/>
        <w:jc w:val="both"/>
        <w:textAlignment w:val="auto"/>
        <w:rPr>
          <w:rFonts w:hint="eastAsia" w:ascii="宋体" w:hAnsi="宋体" w:eastAsia="宋体" w:cs="宋体"/>
          <w:kern w:val="0"/>
          <w:sz w:val="21"/>
          <w:szCs w:val="21"/>
          <w:highlight w:val="none"/>
        </w:rPr>
      </w:pPr>
      <w:bookmarkStart w:id="213" w:name="_Toc486931301"/>
      <w:bookmarkStart w:id="214" w:name="_Toc360629064"/>
      <w:bookmarkStart w:id="215" w:name="_Toc247639875"/>
      <w:bookmarkStart w:id="216" w:name="_Toc29875"/>
      <w:bookmarkStart w:id="217" w:name="_Toc27575"/>
      <w:r>
        <w:rPr>
          <w:rFonts w:hint="eastAsia" w:ascii="宋体" w:hAnsi="宋体" w:eastAsia="宋体" w:cs="宋体"/>
          <w:kern w:val="0"/>
          <w:sz w:val="21"/>
          <w:szCs w:val="21"/>
          <w:highlight w:val="none"/>
        </w:rPr>
        <w:t>6.3.1评标委员会按照第三章“评标办法”规定的方法、评审因素、标准和程序对投标文件进行评审。第三章“评标办法”没有规定的方法、评审因素和标准，不作为评标依据。</w:t>
      </w:r>
    </w:p>
    <w:p>
      <w:pPr>
        <w:keepNext w:val="0"/>
        <w:keepLines w:val="0"/>
        <w:pageBreakBefore w:val="0"/>
        <w:widowControl/>
        <w:shd w:val="clear" w:fill="auto"/>
        <w:tabs>
          <w:tab w:val="left" w:pos="893"/>
        </w:tabs>
        <w:kinsoku/>
        <w:wordWrap/>
        <w:overflowPunct/>
        <w:topLinePunct w:val="0"/>
        <w:autoSpaceDE/>
        <w:autoSpaceDN/>
        <w:bidi w:val="0"/>
        <w:adjustRightInd/>
        <w:snapToGrid/>
        <w:spacing w:line="430" w:lineRule="exact"/>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6.3.2评标完成后，评标委员会应当向招标人提交书面评标报告和中标候选人名单。评标委员会推荐中标候选人的人数见投标人须知前附表。</w:t>
      </w:r>
    </w:p>
    <w:p>
      <w:pPr>
        <w:keepNext w:val="0"/>
        <w:keepLines w:val="0"/>
        <w:pageBreakBefore w:val="0"/>
        <w:widowControl/>
        <w:shd w:val="clear" w:fill="auto"/>
        <w:kinsoku/>
        <w:wordWrap/>
        <w:overflowPunct/>
        <w:topLinePunct w:val="0"/>
        <w:autoSpaceDN w:val="0"/>
        <w:bidi w:val="0"/>
        <w:adjustRightInd/>
        <w:snapToGrid/>
        <w:spacing w:line="430" w:lineRule="exact"/>
        <w:jc w:val="both"/>
        <w:textAlignment w:val="auto"/>
        <w:outlineLvl w:val="1"/>
        <w:rPr>
          <w:rFonts w:hint="eastAsia" w:ascii="宋体" w:hAnsi="宋体" w:eastAsia="宋体" w:cs="宋体"/>
          <w:b/>
          <w:color w:val="auto"/>
          <w:kern w:val="0"/>
          <w:sz w:val="21"/>
          <w:szCs w:val="21"/>
          <w:highlight w:val="none"/>
        </w:rPr>
      </w:pPr>
      <w:bookmarkStart w:id="218" w:name="_Toc10420"/>
      <w:bookmarkStart w:id="219" w:name="_Toc12579"/>
      <w:bookmarkStart w:id="220" w:name="_Toc15395"/>
      <w:bookmarkStart w:id="221" w:name="_Toc27744"/>
      <w:bookmarkStart w:id="222" w:name="_Toc28350"/>
      <w:r>
        <w:rPr>
          <w:rFonts w:hint="eastAsia" w:ascii="宋体" w:hAnsi="宋体" w:eastAsia="宋体" w:cs="宋体"/>
          <w:b/>
          <w:color w:val="auto"/>
          <w:kern w:val="0"/>
          <w:sz w:val="21"/>
          <w:szCs w:val="21"/>
          <w:highlight w:val="none"/>
        </w:rPr>
        <w:t>7. 合同授予</w:t>
      </w:r>
      <w:bookmarkEnd w:id="213"/>
      <w:bookmarkEnd w:id="214"/>
      <w:bookmarkEnd w:id="215"/>
      <w:bookmarkEnd w:id="216"/>
      <w:bookmarkEnd w:id="217"/>
      <w:bookmarkEnd w:id="218"/>
      <w:bookmarkEnd w:id="219"/>
      <w:bookmarkEnd w:id="220"/>
      <w:bookmarkEnd w:id="221"/>
      <w:bookmarkEnd w:id="222"/>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2" w:firstLineChars="200"/>
        <w:jc w:val="left"/>
        <w:textAlignment w:val="auto"/>
        <w:rPr>
          <w:rFonts w:hint="eastAsia" w:ascii="宋体" w:hAnsi="宋体" w:eastAsia="宋体" w:cs="宋体"/>
          <w:b/>
          <w:color w:val="auto"/>
          <w:kern w:val="0"/>
          <w:sz w:val="21"/>
          <w:szCs w:val="20"/>
          <w:highlight w:val="none"/>
        </w:rPr>
      </w:pPr>
      <w:bookmarkStart w:id="223" w:name="_Toc286063273"/>
      <w:bookmarkStart w:id="224" w:name="_Toc286069536"/>
      <w:bookmarkStart w:id="225" w:name="_Toc360629065"/>
      <w:bookmarkStart w:id="226" w:name="_Toc279505635"/>
      <w:bookmarkStart w:id="227" w:name="_Toc247639876"/>
      <w:r>
        <w:rPr>
          <w:rFonts w:hint="eastAsia" w:ascii="宋体" w:hAnsi="宋体" w:eastAsia="宋体" w:cs="宋体"/>
          <w:b/>
          <w:color w:val="auto"/>
          <w:kern w:val="0"/>
          <w:sz w:val="21"/>
          <w:szCs w:val="20"/>
          <w:highlight w:val="none"/>
        </w:rPr>
        <w:t>7.1 定标方式</w:t>
      </w:r>
      <w:bookmarkEnd w:id="223"/>
      <w:bookmarkEnd w:id="224"/>
      <w:bookmarkEnd w:id="225"/>
      <w:bookmarkEnd w:id="226"/>
      <w:bookmarkEnd w:id="227"/>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cs="宋体"/>
          <w:kern w:val="2"/>
          <w:sz w:val="21"/>
          <w:szCs w:val="21"/>
          <w:highlight w:val="none"/>
        </w:rPr>
        <w:t>定标委员会根据定标办法从评标委员会推荐的中标候选人中确定中标人。</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2" w:firstLineChars="200"/>
        <w:jc w:val="left"/>
        <w:textAlignment w:val="auto"/>
        <w:rPr>
          <w:rFonts w:hint="eastAsia" w:ascii="宋体" w:hAnsi="宋体" w:eastAsia="宋体" w:cs="宋体"/>
          <w:b/>
          <w:color w:val="auto"/>
          <w:kern w:val="0"/>
          <w:sz w:val="21"/>
          <w:szCs w:val="20"/>
          <w:highlight w:val="none"/>
        </w:rPr>
      </w:pPr>
      <w:bookmarkStart w:id="228" w:name="_Toc247639877"/>
      <w:bookmarkStart w:id="229" w:name="_Toc360629066"/>
      <w:bookmarkStart w:id="230" w:name="_Toc286063274"/>
      <w:bookmarkStart w:id="231" w:name="_Toc279505636"/>
      <w:bookmarkStart w:id="232" w:name="_Toc286069537"/>
      <w:r>
        <w:rPr>
          <w:rFonts w:hint="eastAsia" w:ascii="宋体" w:hAnsi="宋体" w:eastAsia="宋体" w:cs="宋体"/>
          <w:b/>
          <w:color w:val="auto"/>
          <w:kern w:val="0"/>
          <w:sz w:val="21"/>
          <w:szCs w:val="20"/>
          <w:highlight w:val="none"/>
        </w:rPr>
        <w:t>7.2 中标通知</w:t>
      </w:r>
      <w:bookmarkEnd w:id="228"/>
      <w:bookmarkEnd w:id="229"/>
      <w:bookmarkEnd w:id="230"/>
      <w:bookmarkEnd w:id="231"/>
      <w:bookmarkEnd w:id="232"/>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在本章第3.3</w:t>
      </w:r>
      <w:r>
        <w:rPr>
          <w:rFonts w:hint="eastAsia" w:ascii="宋体" w:hAnsi="宋体" w:cs="宋体"/>
          <w:color w:val="auto"/>
          <w:kern w:val="0"/>
          <w:sz w:val="21"/>
          <w:szCs w:val="20"/>
          <w:highlight w:val="none"/>
          <w:lang w:val="en-US" w:eastAsia="zh-CN"/>
        </w:rPr>
        <w:t>.1</w:t>
      </w:r>
      <w:r>
        <w:rPr>
          <w:rFonts w:hint="eastAsia" w:ascii="宋体" w:hAnsi="宋体" w:eastAsia="宋体" w:cs="宋体"/>
          <w:color w:val="auto"/>
          <w:kern w:val="0"/>
          <w:sz w:val="21"/>
          <w:szCs w:val="20"/>
          <w:highlight w:val="none"/>
        </w:rPr>
        <w:t xml:space="preserve"> 款规定的投标有效期内，招标人以书面形式向中标人发出中标通知书，同时将中标结果通知未中标的投标人。</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2" w:firstLineChars="200"/>
        <w:jc w:val="left"/>
        <w:textAlignment w:val="auto"/>
        <w:rPr>
          <w:rFonts w:hint="eastAsia" w:ascii="宋体" w:hAnsi="宋体" w:eastAsia="宋体" w:cs="宋体"/>
          <w:b/>
          <w:color w:val="auto"/>
          <w:kern w:val="0"/>
          <w:sz w:val="21"/>
          <w:szCs w:val="20"/>
          <w:highlight w:val="none"/>
          <w:lang w:eastAsia="zh-CN"/>
        </w:rPr>
      </w:pPr>
      <w:bookmarkStart w:id="233" w:name="_Toc360629067"/>
      <w:bookmarkStart w:id="234" w:name="_Toc247639878"/>
      <w:bookmarkStart w:id="235" w:name="_Toc286069538"/>
      <w:bookmarkStart w:id="236" w:name="_Toc286063275"/>
      <w:bookmarkStart w:id="237" w:name="_Toc279505637"/>
      <w:r>
        <w:rPr>
          <w:rFonts w:hint="eastAsia" w:ascii="宋体" w:hAnsi="宋体" w:eastAsia="宋体" w:cs="宋体"/>
          <w:b/>
          <w:color w:val="auto"/>
          <w:kern w:val="0"/>
          <w:sz w:val="21"/>
          <w:szCs w:val="20"/>
          <w:highlight w:val="none"/>
        </w:rPr>
        <w:t>7.3 履约担保</w:t>
      </w:r>
      <w:bookmarkEnd w:id="233"/>
      <w:bookmarkEnd w:id="234"/>
      <w:bookmarkEnd w:id="235"/>
      <w:bookmarkEnd w:id="236"/>
      <w:bookmarkEnd w:id="237"/>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7.3.1 在签订合同前，中标人应按投标人须知前附表规定的金额、担保形式向招标人提交履约担保。</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7.3.2 中标人不能按本章第7.3.1 项要求提交履约担保的，视为放弃中标，其投标保证金不予退还，给招标人造成的损失超过投标保证金数额的，中标人还应当对超过部分予以赔偿。</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2" w:firstLineChars="200"/>
        <w:jc w:val="left"/>
        <w:textAlignment w:val="auto"/>
        <w:rPr>
          <w:rFonts w:hint="eastAsia" w:ascii="宋体" w:hAnsi="宋体" w:eastAsia="宋体" w:cs="宋体"/>
          <w:b/>
          <w:color w:val="auto"/>
          <w:kern w:val="0"/>
          <w:sz w:val="21"/>
          <w:szCs w:val="20"/>
          <w:highlight w:val="none"/>
        </w:rPr>
      </w:pPr>
      <w:bookmarkStart w:id="238" w:name="_Toc279505638"/>
      <w:bookmarkStart w:id="239" w:name="_Toc247639879"/>
      <w:bookmarkStart w:id="240" w:name="_Toc286069539"/>
      <w:bookmarkStart w:id="241" w:name="_Toc286063276"/>
      <w:bookmarkStart w:id="242" w:name="_Toc360629068"/>
      <w:r>
        <w:rPr>
          <w:rFonts w:hint="eastAsia" w:ascii="宋体" w:hAnsi="宋体" w:eastAsia="宋体" w:cs="宋体"/>
          <w:b/>
          <w:color w:val="auto"/>
          <w:kern w:val="0"/>
          <w:sz w:val="21"/>
          <w:szCs w:val="20"/>
          <w:highlight w:val="none"/>
        </w:rPr>
        <w:t>7.4 签订合同</w:t>
      </w:r>
      <w:bookmarkEnd w:id="238"/>
      <w:bookmarkEnd w:id="239"/>
      <w:bookmarkEnd w:id="240"/>
      <w:bookmarkEnd w:id="241"/>
      <w:bookmarkEnd w:id="242"/>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7.4.2 发出中标通知书后，招标人无正当理由拒签合同的，招标人向中标人退还投标保证金；给中标人造成损失的，还应当赔偿损失。</w:t>
      </w:r>
    </w:p>
    <w:p>
      <w:pPr>
        <w:keepNext w:val="0"/>
        <w:keepLines w:val="0"/>
        <w:pageBreakBefore w:val="0"/>
        <w:widowControl/>
        <w:shd w:val="clear" w:fill="auto"/>
        <w:kinsoku/>
        <w:wordWrap/>
        <w:overflowPunct/>
        <w:topLinePunct w:val="0"/>
        <w:autoSpaceDN w:val="0"/>
        <w:bidi w:val="0"/>
        <w:adjustRightInd/>
        <w:snapToGrid/>
        <w:spacing w:line="430" w:lineRule="exact"/>
        <w:jc w:val="both"/>
        <w:textAlignment w:val="auto"/>
        <w:outlineLvl w:val="1"/>
        <w:rPr>
          <w:rFonts w:hint="eastAsia" w:ascii="宋体" w:hAnsi="宋体" w:eastAsia="宋体" w:cs="宋体"/>
          <w:b/>
          <w:color w:val="auto"/>
          <w:kern w:val="0"/>
          <w:sz w:val="21"/>
          <w:szCs w:val="21"/>
          <w:highlight w:val="none"/>
        </w:rPr>
      </w:pPr>
      <w:bookmarkStart w:id="243" w:name="_Toc3693"/>
      <w:bookmarkStart w:id="244" w:name="_Toc15018"/>
      <w:bookmarkStart w:id="245" w:name="_Toc28796"/>
      <w:bookmarkStart w:id="246" w:name="_Toc486931302"/>
      <w:bookmarkStart w:id="247" w:name="_Toc247639880"/>
      <w:bookmarkStart w:id="248" w:name="_Toc20292"/>
      <w:bookmarkStart w:id="249" w:name="_Toc5309"/>
      <w:bookmarkStart w:id="250" w:name="_Toc23028"/>
      <w:bookmarkStart w:id="251" w:name="_Toc360629069"/>
      <w:bookmarkStart w:id="252" w:name="_Toc23764"/>
      <w:r>
        <w:rPr>
          <w:rFonts w:hint="eastAsia" w:ascii="宋体" w:hAnsi="宋体" w:eastAsia="宋体" w:cs="宋体"/>
          <w:b/>
          <w:color w:val="auto"/>
          <w:kern w:val="0"/>
          <w:sz w:val="21"/>
          <w:szCs w:val="21"/>
          <w:highlight w:val="none"/>
        </w:rPr>
        <w:t>8. 重新招标和不再招标</w:t>
      </w:r>
      <w:bookmarkEnd w:id="243"/>
      <w:bookmarkEnd w:id="244"/>
      <w:bookmarkEnd w:id="245"/>
      <w:bookmarkEnd w:id="246"/>
      <w:bookmarkEnd w:id="247"/>
      <w:bookmarkEnd w:id="248"/>
      <w:bookmarkEnd w:id="249"/>
      <w:bookmarkEnd w:id="250"/>
      <w:bookmarkEnd w:id="251"/>
      <w:bookmarkEnd w:id="252"/>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2" w:firstLineChars="200"/>
        <w:jc w:val="left"/>
        <w:textAlignment w:val="auto"/>
        <w:rPr>
          <w:rFonts w:hint="eastAsia" w:ascii="宋体" w:hAnsi="宋体" w:eastAsia="宋体" w:cs="宋体"/>
          <w:b/>
          <w:color w:val="auto"/>
          <w:kern w:val="0"/>
          <w:sz w:val="21"/>
          <w:szCs w:val="20"/>
          <w:highlight w:val="none"/>
        </w:rPr>
      </w:pPr>
      <w:bookmarkStart w:id="253" w:name="_Toc286063278"/>
      <w:bookmarkStart w:id="254" w:name="_Toc360629070"/>
      <w:bookmarkStart w:id="255" w:name="_Toc286069541"/>
      <w:bookmarkStart w:id="256" w:name="_Toc279505640"/>
      <w:bookmarkStart w:id="257" w:name="_Toc247639881"/>
      <w:r>
        <w:rPr>
          <w:rFonts w:hint="eastAsia" w:ascii="宋体" w:hAnsi="宋体" w:eastAsia="宋体" w:cs="宋体"/>
          <w:b/>
          <w:color w:val="auto"/>
          <w:kern w:val="0"/>
          <w:sz w:val="21"/>
          <w:szCs w:val="20"/>
          <w:highlight w:val="none"/>
        </w:rPr>
        <w:t>8.1 重新招标</w:t>
      </w:r>
      <w:bookmarkEnd w:id="253"/>
      <w:bookmarkEnd w:id="254"/>
      <w:bookmarkEnd w:id="255"/>
      <w:bookmarkEnd w:id="256"/>
      <w:bookmarkEnd w:id="257"/>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有下列情形之一的，招标人将重新招标：</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（1）投标截止时间止，投标人少于3 个的；</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（2）经评标委员会评审后否决所有投标的。</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2" w:firstLineChars="200"/>
        <w:jc w:val="left"/>
        <w:textAlignment w:val="auto"/>
        <w:rPr>
          <w:rFonts w:hint="eastAsia" w:ascii="宋体" w:hAnsi="宋体" w:eastAsia="宋体" w:cs="宋体"/>
          <w:b/>
          <w:color w:val="auto"/>
          <w:kern w:val="0"/>
          <w:sz w:val="21"/>
          <w:szCs w:val="20"/>
          <w:highlight w:val="none"/>
        </w:rPr>
      </w:pPr>
      <w:bookmarkStart w:id="258" w:name="_Toc286069542"/>
      <w:bookmarkStart w:id="259" w:name="_Toc360629071"/>
      <w:bookmarkStart w:id="260" w:name="_Toc247639882"/>
      <w:bookmarkStart w:id="261" w:name="_Toc279505641"/>
      <w:bookmarkStart w:id="262" w:name="_Toc286063279"/>
      <w:r>
        <w:rPr>
          <w:rFonts w:hint="eastAsia" w:ascii="宋体" w:hAnsi="宋体" w:eastAsia="宋体" w:cs="宋体"/>
          <w:b/>
          <w:color w:val="auto"/>
          <w:kern w:val="0"/>
          <w:sz w:val="21"/>
          <w:szCs w:val="20"/>
          <w:highlight w:val="none"/>
        </w:rPr>
        <w:t>8.2 不再招标</w:t>
      </w:r>
      <w:bookmarkEnd w:id="258"/>
      <w:bookmarkEnd w:id="259"/>
      <w:bookmarkEnd w:id="260"/>
      <w:bookmarkEnd w:id="261"/>
      <w:bookmarkEnd w:id="262"/>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重新招标后投标人仍少于3 个或者所有投标被否决的，属于必须审批或核准的工程建设项目，经原审批或核准部门批准后不再进行招标。</w:t>
      </w:r>
    </w:p>
    <w:p>
      <w:pPr>
        <w:keepNext w:val="0"/>
        <w:keepLines w:val="0"/>
        <w:pageBreakBefore w:val="0"/>
        <w:widowControl/>
        <w:shd w:val="clear" w:fill="auto"/>
        <w:kinsoku/>
        <w:wordWrap/>
        <w:overflowPunct/>
        <w:topLinePunct w:val="0"/>
        <w:autoSpaceDN w:val="0"/>
        <w:bidi w:val="0"/>
        <w:adjustRightInd/>
        <w:snapToGrid/>
        <w:spacing w:line="430" w:lineRule="exact"/>
        <w:jc w:val="both"/>
        <w:textAlignment w:val="auto"/>
        <w:outlineLvl w:val="1"/>
        <w:rPr>
          <w:rFonts w:hint="eastAsia" w:ascii="宋体" w:hAnsi="宋体" w:eastAsia="宋体" w:cs="宋体"/>
          <w:b/>
          <w:color w:val="auto"/>
          <w:kern w:val="0"/>
          <w:sz w:val="21"/>
          <w:szCs w:val="21"/>
          <w:highlight w:val="none"/>
        </w:rPr>
      </w:pPr>
      <w:bookmarkStart w:id="263" w:name="_Toc22244"/>
      <w:bookmarkStart w:id="264" w:name="_Toc360629072"/>
      <w:bookmarkStart w:id="265" w:name="_Toc6983"/>
      <w:bookmarkStart w:id="266" w:name="_Toc486931303"/>
      <w:bookmarkStart w:id="267" w:name="_Toc22024"/>
      <w:bookmarkStart w:id="268" w:name="_Toc16350"/>
      <w:bookmarkStart w:id="269" w:name="_Toc7970"/>
      <w:bookmarkStart w:id="270" w:name="_Toc14967"/>
      <w:bookmarkStart w:id="271" w:name="_Toc247639883"/>
      <w:bookmarkStart w:id="272" w:name="_Toc11784"/>
      <w:r>
        <w:rPr>
          <w:rFonts w:hint="eastAsia" w:ascii="宋体" w:hAnsi="宋体" w:eastAsia="宋体" w:cs="宋体"/>
          <w:b/>
          <w:color w:val="auto"/>
          <w:kern w:val="0"/>
          <w:sz w:val="21"/>
          <w:szCs w:val="21"/>
          <w:highlight w:val="none"/>
        </w:rPr>
        <w:t>9. 纪律和监督</w:t>
      </w:r>
      <w:bookmarkEnd w:id="263"/>
      <w:bookmarkEnd w:id="264"/>
      <w:bookmarkEnd w:id="265"/>
      <w:bookmarkEnd w:id="266"/>
      <w:bookmarkEnd w:id="267"/>
      <w:bookmarkEnd w:id="268"/>
      <w:bookmarkEnd w:id="269"/>
      <w:bookmarkEnd w:id="270"/>
      <w:bookmarkEnd w:id="271"/>
      <w:bookmarkEnd w:id="272"/>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2" w:firstLineChars="200"/>
        <w:jc w:val="left"/>
        <w:textAlignment w:val="auto"/>
        <w:rPr>
          <w:rFonts w:hint="eastAsia" w:ascii="宋体" w:hAnsi="宋体" w:eastAsia="宋体" w:cs="宋体"/>
          <w:b/>
          <w:color w:val="auto"/>
          <w:kern w:val="0"/>
          <w:sz w:val="21"/>
          <w:szCs w:val="20"/>
          <w:highlight w:val="none"/>
        </w:rPr>
      </w:pPr>
      <w:bookmarkStart w:id="273" w:name="_Toc286063281"/>
      <w:bookmarkStart w:id="274" w:name="_Toc247639884"/>
      <w:bookmarkStart w:id="275" w:name="_Toc286069544"/>
      <w:bookmarkStart w:id="276" w:name="_Toc279505643"/>
      <w:bookmarkStart w:id="277" w:name="_Toc360629073"/>
      <w:r>
        <w:rPr>
          <w:rFonts w:hint="eastAsia" w:ascii="宋体" w:hAnsi="宋体" w:eastAsia="宋体" w:cs="宋体"/>
          <w:b/>
          <w:color w:val="auto"/>
          <w:kern w:val="0"/>
          <w:sz w:val="21"/>
          <w:szCs w:val="20"/>
          <w:highlight w:val="none"/>
        </w:rPr>
        <w:t>9.1 对招标人的纪律要求</w:t>
      </w:r>
      <w:bookmarkEnd w:id="273"/>
      <w:bookmarkEnd w:id="274"/>
      <w:bookmarkEnd w:id="275"/>
      <w:bookmarkEnd w:id="276"/>
      <w:bookmarkEnd w:id="277"/>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招标人不得泄漏招标投标活动中应当保密的情况和资料，不得与投标人串通损害国家利益、社会公共利益或者他人合法权益。</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2" w:firstLineChars="200"/>
        <w:jc w:val="left"/>
        <w:textAlignment w:val="auto"/>
        <w:rPr>
          <w:rFonts w:hint="eastAsia" w:ascii="宋体" w:hAnsi="宋体" w:eastAsia="宋体" w:cs="宋体"/>
          <w:b/>
          <w:color w:val="auto"/>
          <w:kern w:val="0"/>
          <w:sz w:val="21"/>
          <w:szCs w:val="20"/>
          <w:highlight w:val="none"/>
        </w:rPr>
      </w:pPr>
      <w:bookmarkStart w:id="278" w:name="_Toc286063282"/>
      <w:bookmarkStart w:id="279" w:name="_Toc286069545"/>
      <w:bookmarkStart w:id="280" w:name="_Toc360629074"/>
      <w:bookmarkStart w:id="281" w:name="_Toc279505644"/>
      <w:bookmarkStart w:id="282" w:name="_Toc247639885"/>
      <w:r>
        <w:rPr>
          <w:rFonts w:hint="eastAsia" w:ascii="宋体" w:hAnsi="宋体" w:eastAsia="宋体" w:cs="宋体"/>
          <w:b/>
          <w:color w:val="auto"/>
          <w:kern w:val="0"/>
          <w:sz w:val="21"/>
          <w:szCs w:val="20"/>
          <w:highlight w:val="none"/>
        </w:rPr>
        <w:t>9.2 对投标人的纪律要求</w:t>
      </w:r>
      <w:bookmarkEnd w:id="278"/>
      <w:bookmarkEnd w:id="279"/>
      <w:bookmarkEnd w:id="280"/>
      <w:bookmarkEnd w:id="281"/>
      <w:bookmarkEnd w:id="282"/>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2" w:firstLineChars="200"/>
        <w:jc w:val="left"/>
        <w:textAlignment w:val="auto"/>
        <w:rPr>
          <w:rFonts w:hint="eastAsia" w:ascii="宋体" w:hAnsi="宋体" w:eastAsia="宋体" w:cs="宋体"/>
          <w:b/>
          <w:color w:val="auto"/>
          <w:kern w:val="0"/>
          <w:sz w:val="21"/>
          <w:szCs w:val="20"/>
          <w:highlight w:val="none"/>
        </w:rPr>
      </w:pPr>
      <w:bookmarkStart w:id="283" w:name="_Toc286063283"/>
      <w:bookmarkStart w:id="284" w:name="_Toc286069546"/>
      <w:bookmarkStart w:id="285" w:name="_Toc279505645"/>
      <w:bookmarkStart w:id="286" w:name="_Toc247639886"/>
      <w:bookmarkStart w:id="287" w:name="_Toc360629075"/>
      <w:r>
        <w:rPr>
          <w:rFonts w:hint="eastAsia" w:ascii="宋体" w:hAnsi="宋体" w:eastAsia="宋体" w:cs="宋体"/>
          <w:b/>
          <w:color w:val="auto"/>
          <w:kern w:val="0"/>
          <w:sz w:val="21"/>
          <w:szCs w:val="20"/>
          <w:highlight w:val="none"/>
        </w:rPr>
        <w:t>9.3 对评标委员会成员的纪律要求</w:t>
      </w:r>
      <w:bookmarkEnd w:id="283"/>
      <w:bookmarkEnd w:id="284"/>
      <w:bookmarkEnd w:id="285"/>
      <w:bookmarkEnd w:id="286"/>
      <w:bookmarkEnd w:id="287"/>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2" w:firstLineChars="200"/>
        <w:jc w:val="left"/>
        <w:textAlignment w:val="auto"/>
        <w:rPr>
          <w:rFonts w:hint="eastAsia" w:ascii="宋体" w:hAnsi="宋体" w:eastAsia="宋体" w:cs="宋体"/>
          <w:b/>
          <w:color w:val="auto"/>
          <w:kern w:val="0"/>
          <w:sz w:val="21"/>
          <w:szCs w:val="20"/>
          <w:highlight w:val="none"/>
        </w:rPr>
      </w:pPr>
      <w:bookmarkStart w:id="288" w:name="_Toc360629076"/>
      <w:bookmarkStart w:id="289" w:name="_Toc247639887"/>
      <w:bookmarkStart w:id="290" w:name="_Toc286063284"/>
      <w:bookmarkStart w:id="291" w:name="_Toc286069547"/>
      <w:bookmarkStart w:id="292" w:name="_Toc279505646"/>
      <w:r>
        <w:rPr>
          <w:rFonts w:hint="eastAsia" w:ascii="宋体" w:hAnsi="宋体" w:eastAsia="宋体" w:cs="宋体"/>
          <w:b/>
          <w:color w:val="auto"/>
          <w:kern w:val="0"/>
          <w:sz w:val="21"/>
          <w:szCs w:val="20"/>
          <w:highlight w:val="none"/>
        </w:rPr>
        <w:t>9.4 对与评标活动有关的工作人员的纪律要求</w:t>
      </w:r>
      <w:bookmarkEnd w:id="288"/>
      <w:bookmarkEnd w:id="289"/>
      <w:bookmarkEnd w:id="290"/>
      <w:bookmarkEnd w:id="291"/>
      <w:bookmarkEnd w:id="292"/>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2" w:firstLineChars="200"/>
        <w:jc w:val="left"/>
        <w:textAlignment w:val="auto"/>
        <w:rPr>
          <w:rFonts w:hint="eastAsia" w:ascii="宋体" w:hAnsi="宋体" w:eastAsia="宋体" w:cs="宋体"/>
          <w:b/>
          <w:color w:val="auto"/>
          <w:kern w:val="0"/>
          <w:sz w:val="21"/>
          <w:szCs w:val="20"/>
          <w:highlight w:val="none"/>
        </w:rPr>
      </w:pPr>
      <w:bookmarkStart w:id="293" w:name="_Toc279505647"/>
      <w:bookmarkStart w:id="294" w:name="_Toc247639888"/>
      <w:bookmarkStart w:id="295" w:name="_Toc286069548"/>
      <w:bookmarkStart w:id="296" w:name="_Toc286063285"/>
      <w:bookmarkStart w:id="297" w:name="_Toc360629077"/>
      <w:r>
        <w:rPr>
          <w:rFonts w:hint="eastAsia" w:ascii="宋体" w:hAnsi="宋体" w:eastAsia="宋体" w:cs="宋体"/>
          <w:b/>
          <w:color w:val="auto"/>
          <w:kern w:val="0"/>
          <w:sz w:val="21"/>
          <w:szCs w:val="20"/>
          <w:highlight w:val="none"/>
        </w:rPr>
        <w:t>9.5 投诉</w:t>
      </w:r>
      <w:bookmarkEnd w:id="293"/>
      <w:bookmarkEnd w:id="294"/>
      <w:bookmarkEnd w:id="295"/>
      <w:bookmarkEnd w:id="296"/>
      <w:bookmarkEnd w:id="297"/>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投标人和其他利害关系人认为本次招标活动违反法律、法规和规章规定的，有权向有关行政监督部门投诉。</w:t>
      </w:r>
    </w:p>
    <w:p>
      <w:pPr>
        <w:keepNext w:val="0"/>
        <w:keepLines w:val="0"/>
        <w:pageBreakBefore w:val="0"/>
        <w:widowControl/>
        <w:shd w:val="clear" w:fill="auto"/>
        <w:kinsoku/>
        <w:wordWrap/>
        <w:overflowPunct/>
        <w:topLinePunct w:val="0"/>
        <w:autoSpaceDN w:val="0"/>
        <w:bidi w:val="0"/>
        <w:adjustRightInd/>
        <w:snapToGrid/>
        <w:spacing w:line="430" w:lineRule="exact"/>
        <w:jc w:val="both"/>
        <w:textAlignment w:val="auto"/>
        <w:outlineLvl w:val="1"/>
        <w:rPr>
          <w:rFonts w:hint="eastAsia" w:ascii="宋体" w:hAnsi="宋体" w:eastAsia="宋体" w:cs="宋体"/>
          <w:b/>
          <w:color w:val="auto"/>
          <w:kern w:val="0"/>
          <w:sz w:val="21"/>
          <w:szCs w:val="21"/>
          <w:highlight w:val="none"/>
        </w:rPr>
      </w:pPr>
      <w:bookmarkStart w:id="298" w:name="_Toc12048"/>
      <w:bookmarkStart w:id="299" w:name="_Toc24309"/>
      <w:bookmarkStart w:id="300" w:name="_Toc360629078"/>
      <w:bookmarkStart w:id="301" w:name="_Toc486931304"/>
      <w:bookmarkStart w:id="302" w:name="_Toc247639889"/>
      <w:bookmarkStart w:id="303" w:name="_Toc9531"/>
      <w:bookmarkStart w:id="304" w:name="_Toc9643"/>
      <w:bookmarkStart w:id="305" w:name="_Toc23098"/>
      <w:bookmarkStart w:id="306" w:name="_Toc9499"/>
      <w:bookmarkStart w:id="307" w:name="_Toc5216"/>
      <w:r>
        <w:rPr>
          <w:rFonts w:hint="eastAsia" w:ascii="宋体" w:hAnsi="宋体" w:eastAsia="宋体" w:cs="宋体"/>
          <w:b/>
          <w:color w:val="auto"/>
          <w:kern w:val="0"/>
          <w:sz w:val="21"/>
          <w:szCs w:val="21"/>
          <w:highlight w:val="none"/>
        </w:rPr>
        <w:t>10. 需要补充的其他内容</w:t>
      </w:r>
      <w:bookmarkEnd w:id="298"/>
      <w:bookmarkEnd w:id="299"/>
      <w:bookmarkEnd w:id="300"/>
      <w:bookmarkEnd w:id="301"/>
      <w:bookmarkEnd w:id="302"/>
      <w:bookmarkEnd w:id="303"/>
      <w:bookmarkEnd w:id="304"/>
      <w:bookmarkEnd w:id="305"/>
      <w:bookmarkEnd w:id="306"/>
      <w:bookmarkEnd w:id="307"/>
    </w:p>
    <w:p>
      <w:pPr>
        <w:keepNext w:val="0"/>
        <w:keepLines w:val="0"/>
        <w:pageBreakBefore w:val="0"/>
        <w:widowControl/>
        <w:shd w:val="clear" w:fill="auto"/>
        <w:kinsoku/>
        <w:wordWrap/>
        <w:overflowPunct/>
        <w:topLinePunct w:val="0"/>
        <w:autoSpaceDE w:val="0"/>
        <w:autoSpaceDN w:val="0"/>
        <w:bidi w:val="0"/>
        <w:adjustRightInd/>
        <w:snapToGrid/>
        <w:spacing w:line="430" w:lineRule="exact"/>
        <w:ind w:firstLine="420" w:firstLineChars="200"/>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需要补充的其他内容：见投标人须知前附表。</w:t>
      </w:r>
    </w:p>
    <w:p>
      <w:pPr>
        <w:shd w:val="clear" w:fill="auto"/>
        <w:rPr>
          <w:rFonts w:hint="eastAsia"/>
          <w:color w:val="000000"/>
          <w:sz w:val="32"/>
          <w:szCs w:val="32"/>
          <w:highlight w:val="none"/>
        </w:rPr>
      </w:pPr>
      <w:r>
        <w:rPr>
          <w:rFonts w:ascii="宋体" w:hAnsi="宋体"/>
          <w:color w:val="000000"/>
          <w:kern w:val="0"/>
          <w:szCs w:val="21"/>
          <w:highlight w:val="none"/>
        </w:rPr>
        <w:br w:type="page"/>
      </w:r>
      <w:bookmarkEnd w:id="9"/>
      <w:bookmarkStart w:id="308" w:name="_Toc319307025"/>
    </w:p>
    <w:p>
      <w:pPr>
        <w:widowControl/>
        <w:shd w:val="clear" w:fill="auto"/>
        <w:spacing w:line="360" w:lineRule="auto"/>
        <w:jc w:val="left"/>
        <w:outlineLvl w:val="9"/>
        <w:rPr>
          <w:rFonts w:hint="eastAsia" w:ascii="宋体" w:hAnsi="宋体" w:eastAsia="宋体" w:cs="宋体"/>
          <w:b/>
          <w:color w:val="auto"/>
          <w:kern w:val="0"/>
          <w:sz w:val="21"/>
          <w:szCs w:val="22"/>
          <w:highlight w:val="none"/>
          <w:lang w:val="en-US" w:eastAsia="zh-CN"/>
        </w:rPr>
      </w:pPr>
      <w:bookmarkStart w:id="309" w:name="_Toc30155"/>
      <w:r>
        <w:rPr>
          <w:rFonts w:hint="eastAsia" w:ascii="宋体" w:hAnsi="宋体" w:eastAsia="宋体" w:cs="宋体"/>
          <w:b/>
          <w:color w:val="auto"/>
          <w:kern w:val="0"/>
          <w:sz w:val="21"/>
          <w:szCs w:val="22"/>
          <w:highlight w:val="none"/>
          <w:lang w:val="en-US" w:eastAsia="zh-CN"/>
        </w:rPr>
        <w:t>附件：</w:t>
      </w:r>
      <w:bookmarkEnd w:id="309"/>
    </w:p>
    <w:p>
      <w:pPr>
        <w:widowControl/>
        <w:shd w:val="clear" w:fill="auto"/>
        <w:jc w:val="center"/>
        <w:rPr>
          <w:rFonts w:hint="eastAsia" w:ascii="宋体" w:hAnsi="宋体" w:eastAsia="宋体" w:cs="宋体"/>
          <w:bCs/>
          <w:color w:val="000000"/>
          <w:kern w:val="0"/>
          <w:sz w:val="30"/>
          <w:szCs w:val="30"/>
          <w:highlight w:val="none"/>
        </w:rPr>
      </w:pPr>
      <w:r>
        <w:rPr>
          <w:rFonts w:hint="eastAsia" w:ascii="宋体" w:hAnsi="宋体" w:eastAsia="宋体" w:cs="宋体"/>
          <w:bCs/>
          <w:color w:val="000000"/>
          <w:kern w:val="0"/>
          <w:sz w:val="32"/>
          <w:szCs w:val="32"/>
          <w:highlight w:val="none"/>
        </w:rPr>
        <w:t>建设工程危险性较大的分部分项工程清单</w:t>
      </w:r>
    </w:p>
    <w:tbl>
      <w:tblPr>
        <w:tblStyle w:val="28"/>
        <w:tblW w:w="9626" w:type="dxa"/>
        <w:jc w:val="center"/>
        <w:tblLayout w:type="fixed"/>
        <w:tblCellMar>
          <w:top w:w="0" w:type="dxa"/>
          <w:left w:w="108" w:type="dxa"/>
          <w:bottom w:w="0" w:type="dxa"/>
          <w:right w:w="108" w:type="dxa"/>
        </w:tblCellMar>
      </w:tblPr>
      <w:tblGrid>
        <w:gridCol w:w="861"/>
        <w:gridCol w:w="7298"/>
        <w:gridCol w:w="1467"/>
      </w:tblGrid>
      <w:tr>
        <w:tblPrEx>
          <w:tblCellMar>
            <w:top w:w="0" w:type="dxa"/>
            <w:left w:w="108" w:type="dxa"/>
            <w:bottom w:w="0" w:type="dxa"/>
            <w:right w:w="108" w:type="dxa"/>
          </w:tblCellMar>
        </w:tblPrEx>
        <w:trPr>
          <w:trHeight w:val="799"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一、危险性较大的分部分项工程目录</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本工程</w:t>
            </w:r>
          </w:p>
          <w:p>
            <w:pPr>
              <w:widowControl/>
              <w:shd w:val="clear" w:fill="auto"/>
              <w:autoSpaceDE w:val="0"/>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是否存在</w:t>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一、基坑工程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409"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（一）开挖深度超过3m（含3m）的基坑（槽）的土方开挖、支护、降水工程。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否</w:t>
            </w:r>
            <w:r>
              <w:rPr>
                <w:rFonts w:hint="eastAsia" w:ascii="宋体" w:hAnsi="宋体" w:eastAsia="宋体" w:cs="宋体"/>
                <w:color w:val="auto"/>
                <w:kern w:val="2"/>
                <w:sz w:val="21"/>
                <w:szCs w:val="21"/>
                <w:highlight w:val="none"/>
                <w:lang w:eastAsia="zh-CN"/>
              </w:rPr>
              <w:sym w:font="Wingdings 2" w:char="0052"/>
            </w:r>
          </w:p>
        </w:tc>
      </w:tr>
      <w:tr>
        <w:tblPrEx>
          <w:tblCellMar>
            <w:top w:w="0" w:type="dxa"/>
            <w:left w:w="108" w:type="dxa"/>
            <w:bottom w:w="0" w:type="dxa"/>
            <w:right w:w="108" w:type="dxa"/>
          </w:tblCellMar>
        </w:tblPrEx>
        <w:trPr>
          <w:trHeight w:val="799"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（二）开挖深度虽未超过3m，但地质条件、周围环境和地下管线复杂，或影响毗邻建、构筑物安全的基坑（槽）的土方开挖、支护、降水工程。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eastAsia="宋体" w:cs="宋体"/>
                <w:color w:val="auto"/>
                <w:kern w:val="2"/>
                <w:sz w:val="21"/>
                <w:szCs w:val="21"/>
                <w:highlight w:val="none"/>
                <w:lang w:eastAsia="zh-CN"/>
              </w:rPr>
              <w:sym w:font="Wingdings 2" w:char="0052"/>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二、模板工程及支撑体系</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（一）各类工具式模板工程：包括滑模、爬模、飞模、隧道模等工程。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cs="宋体"/>
                <w:color w:val="auto"/>
                <w:kern w:val="2"/>
                <w:sz w:val="21"/>
                <w:szCs w:val="21"/>
                <w:highlight w:val="none"/>
                <w:lang w:eastAsia="zh-CN"/>
              </w:rPr>
              <w:sym w:font="Wingdings 2" w:char="0052"/>
            </w:r>
          </w:p>
        </w:tc>
      </w:tr>
      <w:tr>
        <w:tblPrEx>
          <w:tblCellMar>
            <w:top w:w="0" w:type="dxa"/>
            <w:left w:w="108" w:type="dxa"/>
            <w:bottom w:w="0" w:type="dxa"/>
            <w:right w:w="108" w:type="dxa"/>
          </w:tblCellMar>
        </w:tblPrEx>
        <w:trPr>
          <w:trHeight w:val="1590"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否</w:t>
            </w:r>
            <w:r>
              <w:rPr>
                <w:rFonts w:hint="eastAsia" w:ascii="宋体" w:hAnsi="宋体" w:cs="宋体"/>
                <w:color w:val="auto"/>
                <w:kern w:val="2"/>
                <w:sz w:val="21"/>
                <w:szCs w:val="21"/>
                <w:highlight w:val="none"/>
                <w:lang w:eastAsia="zh-CN"/>
              </w:rPr>
              <w:sym w:font="Wingdings 2" w:char="0052"/>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（三）承重支撑体系：用于钢结构安装等满堂支撑体系。</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否</w:t>
            </w:r>
            <w:r>
              <w:rPr>
                <w:rFonts w:hint="eastAsia" w:ascii="宋体" w:hAnsi="宋体" w:cs="宋体"/>
                <w:color w:val="auto"/>
                <w:kern w:val="2"/>
                <w:sz w:val="21"/>
                <w:szCs w:val="21"/>
                <w:highlight w:val="none"/>
                <w:lang w:eastAsia="zh-CN"/>
              </w:rPr>
              <w:sym w:font="Wingdings 2" w:char="0052"/>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三、起重吊装及起重机械安装拆卸工程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799"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（一）采用非常规起重设备、方法，且单件起吊重量在10kN及以上的起重吊装工程。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否</w:t>
            </w:r>
            <w:r>
              <w:rPr>
                <w:rFonts w:hint="eastAsia" w:ascii="宋体" w:hAnsi="宋体" w:cs="宋体"/>
                <w:color w:val="auto"/>
                <w:kern w:val="2"/>
                <w:sz w:val="21"/>
                <w:szCs w:val="21"/>
                <w:highlight w:val="none"/>
                <w:lang w:eastAsia="zh-CN"/>
              </w:rPr>
              <w:sym w:font="Wingdings 2" w:char="0052"/>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（二）采用起重机械进行安装的工程。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否</w:t>
            </w:r>
            <w:r>
              <w:rPr>
                <w:rFonts w:hint="eastAsia" w:ascii="宋体" w:hAnsi="宋体" w:eastAsia="宋体" w:cs="宋体"/>
                <w:color w:val="auto"/>
                <w:kern w:val="2"/>
                <w:sz w:val="21"/>
                <w:szCs w:val="21"/>
                <w:highlight w:val="none"/>
              </w:rPr>
              <w:sym w:font="Wingdings 2" w:char="0052"/>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（三）起重机械安装和拆卸工程。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否</w:t>
            </w:r>
            <w:r>
              <w:rPr>
                <w:rFonts w:hint="eastAsia" w:ascii="宋体" w:hAnsi="宋体" w:eastAsia="宋体" w:cs="宋体"/>
                <w:color w:val="auto"/>
                <w:kern w:val="2"/>
                <w:sz w:val="21"/>
                <w:szCs w:val="21"/>
                <w:highlight w:val="none"/>
              </w:rPr>
              <w:sym w:font="Wingdings 2" w:char="0052"/>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四、脚手架工程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601"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（一）搭设高度24m及以上的落地式钢管脚手架工程（包括采光井、电梯井脚手架）。</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否</w:t>
            </w:r>
            <w:r>
              <w:rPr>
                <w:rFonts w:hint="eastAsia" w:ascii="宋体" w:hAnsi="宋体" w:cs="宋体"/>
                <w:color w:val="auto"/>
                <w:kern w:val="2"/>
                <w:sz w:val="21"/>
                <w:szCs w:val="21"/>
                <w:highlight w:val="none"/>
                <w:lang w:eastAsia="zh-CN"/>
              </w:rPr>
              <w:sym w:font="Wingdings 2" w:char="0052"/>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（二）附着式升降脚手架工程。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否</w:t>
            </w:r>
            <w:r>
              <w:rPr>
                <w:rFonts w:hint="eastAsia" w:ascii="宋体" w:hAnsi="宋体" w:cs="宋体"/>
                <w:color w:val="auto"/>
                <w:kern w:val="2"/>
                <w:sz w:val="21"/>
                <w:szCs w:val="21"/>
                <w:highlight w:val="none"/>
                <w:lang w:eastAsia="zh-CN"/>
              </w:rPr>
              <w:sym w:font="Wingdings 2" w:char="0052"/>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（三）悬挑式脚手架工程。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是</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否</w:t>
            </w:r>
            <w:r>
              <w:rPr>
                <w:rFonts w:hint="eastAsia" w:ascii="宋体" w:hAnsi="宋体" w:eastAsia="宋体" w:cs="宋体"/>
                <w:color w:val="auto"/>
                <w:kern w:val="2"/>
                <w:sz w:val="21"/>
                <w:szCs w:val="21"/>
                <w:highlight w:val="none"/>
              </w:rPr>
              <w:sym w:font="Wingdings 2" w:char="0052"/>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（四）高处作业吊篮。</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否</w:t>
            </w:r>
            <w:r>
              <w:rPr>
                <w:rFonts w:hint="eastAsia" w:ascii="宋体" w:hAnsi="宋体" w:cs="宋体"/>
                <w:color w:val="auto"/>
                <w:kern w:val="2"/>
                <w:sz w:val="21"/>
                <w:szCs w:val="21"/>
                <w:highlight w:val="none"/>
                <w:lang w:eastAsia="zh-CN"/>
              </w:rPr>
              <w:sym w:font="Wingdings 2" w:char="0052"/>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（五）卸料平台、操作平台工程。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否</w:t>
            </w:r>
            <w:r>
              <w:rPr>
                <w:rFonts w:hint="eastAsia" w:ascii="宋体" w:hAnsi="宋体" w:eastAsia="宋体" w:cs="宋体"/>
                <w:color w:val="auto"/>
                <w:kern w:val="2"/>
                <w:sz w:val="21"/>
                <w:szCs w:val="21"/>
                <w:highlight w:val="none"/>
                <w:lang w:eastAsia="zh-CN"/>
              </w:rPr>
              <w:sym w:font="Wingdings 2" w:char="0052"/>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（六）异型脚手架工程。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cs="宋体"/>
                <w:color w:val="auto"/>
                <w:kern w:val="2"/>
                <w:sz w:val="21"/>
                <w:szCs w:val="21"/>
                <w:highlight w:val="none"/>
                <w:lang w:eastAsia="zh-CN"/>
              </w:rPr>
              <w:sym w:font="Wingdings 2" w:char="0052"/>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五、拆除工程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677"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可能影响行人、交通、电力设施、通讯设施或其它建、构筑物安全的拆除工程。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cs="宋体"/>
                <w:color w:val="auto"/>
                <w:kern w:val="2"/>
                <w:sz w:val="21"/>
                <w:szCs w:val="21"/>
                <w:highlight w:val="none"/>
                <w:lang w:eastAsia="zh-CN"/>
              </w:rPr>
              <w:sym w:font="Wingdings 2" w:char="0052"/>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六、暗挖工程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采用矿山法、盾构法、顶管法施工的隧道、洞室工程。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cs="宋体"/>
                <w:color w:val="auto"/>
                <w:kern w:val="2"/>
                <w:sz w:val="21"/>
                <w:szCs w:val="21"/>
                <w:highlight w:val="none"/>
                <w:lang w:eastAsia="zh-CN"/>
              </w:rPr>
              <w:sym w:font="Wingdings 2" w:char="0052"/>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七、其它</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（一）建筑幕墙安装工程。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否</w:t>
            </w:r>
            <w:r>
              <w:rPr>
                <w:rFonts w:hint="eastAsia" w:ascii="宋体" w:hAnsi="宋体" w:cs="宋体"/>
                <w:color w:val="auto"/>
                <w:kern w:val="2"/>
                <w:sz w:val="21"/>
                <w:szCs w:val="21"/>
                <w:highlight w:val="none"/>
                <w:lang w:eastAsia="zh-CN"/>
              </w:rPr>
              <w:sym w:font="Wingdings 2" w:char="0052"/>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（二）钢结构、网架和索膜结构安装工程。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否</w:t>
            </w:r>
            <w:r>
              <w:rPr>
                <w:rFonts w:hint="eastAsia" w:ascii="宋体" w:hAnsi="宋体" w:cs="宋体"/>
                <w:color w:val="auto"/>
                <w:kern w:val="2"/>
                <w:sz w:val="21"/>
                <w:szCs w:val="21"/>
                <w:highlight w:val="none"/>
                <w:lang w:eastAsia="zh-CN"/>
              </w:rPr>
              <w:sym w:font="Wingdings 2" w:char="0052"/>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（三）人工挖孔桩工程。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cs="宋体"/>
                <w:color w:val="auto"/>
                <w:kern w:val="2"/>
                <w:sz w:val="21"/>
                <w:szCs w:val="21"/>
                <w:highlight w:val="none"/>
                <w:lang w:eastAsia="zh-CN"/>
              </w:rPr>
              <w:sym w:font="Wingdings 2" w:char="0052"/>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（四）水下作业工程。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cs="宋体"/>
                <w:color w:val="auto"/>
                <w:kern w:val="2"/>
                <w:sz w:val="21"/>
                <w:szCs w:val="21"/>
                <w:highlight w:val="none"/>
                <w:lang w:eastAsia="zh-CN"/>
              </w:rPr>
              <w:sym w:font="Wingdings 2" w:char="0052"/>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（五）装配式建筑混凝土预制构件安装工程。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cs="宋体"/>
                <w:color w:val="auto"/>
                <w:kern w:val="2"/>
                <w:sz w:val="21"/>
                <w:szCs w:val="21"/>
                <w:highlight w:val="none"/>
                <w:lang w:eastAsia="zh-CN"/>
              </w:rPr>
              <w:sym w:font="Wingdings 2" w:char="0052"/>
            </w:r>
          </w:p>
        </w:tc>
      </w:tr>
      <w:tr>
        <w:tblPrEx>
          <w:tblCellMar>
            <w:top w:w="0" w:type="dxa"/>
            <w:left w:w="108" w:type="dxa"/>
            <w:bottom w:w="0" w:type="dxa"/>
            <w:right w:w="108" w:type="dxa"/>
          </w:tblCellMar>
        </w:tblPrEx>
        <w:trPr>
          <w:trHeight w:val="799"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（六）采用新技术、新工艺、新材料、新设备可能影响工程施工安全，尚无国家、行业及地方技术标准的分部分项工程。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否</w:t>
            </w:r>
            <w:r>
              <w:rPr>
                <w:rFonts w:hint="eastAsia" w:ascii="宋体" w:hAnsi="宋体" w:eastAsia="宋体" w:cs="宋体"/>
                <w:color w:val="auto"/>
                <w:kern w:val="2"/>
                <w:sz w:val="21"/>
                <w:szCs w:val="21"/>
                <w:highlight w:val="none"/>
                <w:lang w:eastAsia="zh-CN"/>
              </w:rPr>
              <w:sym w:font="Wingdings 2" w:char="0052"/>
            </w:r>
          </w:p>
        </w:tc>
      </w:tr>
      <w:tr>
        <w:tblPrEx>
          <w:tblCellMar>
            <w:top w:w="0" w:type="dxa"/>
            <w:left w:w="108" w:type="dxa"/>
            <w:bottom w:w="0" w:type="dxa"/>
            <w:right w:w="108" w:type="dxa"/>
          </w:tblCellMar>
        </w:tblPrEx>
        <w:trPr>
          <w:trHeight w:val="799"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rPr>
              <w:t>二、</w:t>
            </w:r>
            <w:r>
              <w:rPr>
                <w:rFonts w:hint="eastAsia" w:ascii="宋体" w:hAnsi="宋体" w:eastAsia="宋体" w:cs="宋体"/>
                <w:b/>
                <w:bCs/>
                <w:color w:val="auto"/>
                <w:kern w:val="2"/>
                <w:sz w:val="21"/>
                <w:szCs w:val="21"/>
                <w:highlight w:val="none"/>
                <w:lang w:val="en-US" w:eastAsia="zh-CN"/>
              </w:rPr>
              <w:t>超过一定规模的危险性较大的分部分项工程范围</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本工程</w:t>
            </w:r>
          </w:p>
          <w:p>
            <w:pPr>
              <w:widowControl/>
              <w:shd w:val="clear" w:fill="auto"/>
              <w:autoSpaceDE w:val="0"/>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是否存在</w:t>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一、深基坑工程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开挖深度超过5m（含5m）的基坑（槽）的土方开挖、支护、降水工程。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否</w:t>
            </w:r>
            <w:r>
              <w:rPr>
                <w:rFonts w:hint="eastAsia" w:ascii="宋体" w:hAnsi="宋体" w:eastAsia="宋体" w:cs="宋体"/>
                <w:color w:val="auto"/>
                <w:kern w:val="2"/>
                <w:sz w:val="21"/>
                <w:szCs w:val="21"/>
                <w:highlight w:val="none"/>
                <w:lang w:eastAsia="zh-CN"/>
              </w:rPr>
              <w:t>☑</w:t>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二、模板工程及支撑体系</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（一）各类工具式模板工程：包括滑模、爬模、飞模、隧道模等工程。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否</w:t>
            </w:r>
            <w:r>
              <w:rPr>
                <w:rFonts w:hint="eastAsia" w:ascii="宋体" w:hAnsi="宋体" w:eastAsia="宋体" w:cs="宋体"/>
                <w:color w:val="auto"/>
                <w:kern w:val="2"/>
                <w:sz w:val="21"/>
                <w:szCs w:val="21"/>
                <w:highlight w:val="none"/>
                <w:lang w:eastAsia="zh-CN"/>
              </w:rPr>
              <w:t>☑</w:t>
            </w:r>
          </w:p>
        </w:tc>
      </w:tr>
      <w:tr>
        <w:tblPrEx>
          <w:tblCellMar>
            <w:top w:w="0" w:type="dxa"/>
            <w:left w:w="108" w:type="dxa"/>
            <w:bottom w:w="0" w:type="dxa"/>
            <w:right w:w="108" w:type="dxa"/>
          </w:tblCellMar>
        </w:tblPrEx>
        <w:trPr>
          <w:trHeight w:val="799"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（二）混凝土模板支撑工程：搭设高度8m及以上，或搭设跨度18m及以上，或施工总荷载（设计值）15kN/ m2及以上，或集中线荷载（设计值）20kN/m及以上。</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否</w:t>
            </w:r>
            <w:r>
              <w:rPr>
                <w:rFonts w:hint="eastAsia" w:ascii="宋体" w:hAnsi="宋体" w:eastAsia="宋体" w:cs="宋体"/>
                <w:color w:val="auto"/>
                <w:kern w:val="2"/>
                <w:sz w:val="21"/>
                <w:szCs w:val="21"/>
                <w:highlight w:val="none"/>
                <w:lang w:eastAsia="zh-CN"/>
              </w:rPr>
              <w:t>☑</w:t>
            </w:r>
          </w:p>
        </w:tc>
      </w:tr>
      <w:tr>
        <w:tblPrEx>
          <w:tblCellMar>
            <w:top w:w="0" w:type="dxa"/>
            <w:left w:w="108" w:type="dxa"/>
            <w:bottom w:w="0" w:type="dxa"/>
            <w:right w:w="108" w:type="dxa"/>
          </w:tblCellMar>
        </w:tblPrEx>
        <w:trPr>
          <w:trHeight w:val="799"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（三）承重支撑体系：用于钢结构安装等满堂支撑体系，承受单点集中荷载7kN及以上。</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eastAsia="宋体" w:cs="宋体"/>
                <w:color w:val="auto"/>
                <w:kern w:val="2"/>
                <w:sz w:val="21"/>
                <w:szCs w:val="21"/>
                <w:highlight w:val="none"/>
                <w:lang w:eastAsia="zh-CN"/>
              </w:rPr>
              <w:t>☑</w:t>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三、起重吊装及起重机械安装拆卸工程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799"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（一）采用非常规起重设备、方法，且单件起吊重量在100kN及以上的起重吊装工程。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eastAsia="宋体" w:cs="宋体"/>
                <w:color w:val="auto"/>
                <w:kern w:val="2"/>
                <w:sz w:val="21"/>
                <w:szCs w:val="21"/>
                <w:highlight w:val="none"/>
                <w:lang w:eastAsia="zh-CN"/>
              </w:rPr>
              <w:t>☑</w:t>
            </w:r>
          </w:p>
        </w:tc>
      </w:tr>
      <w:tr>
        <w:tblPrEx>
          <w:tblCellMar>
            <w:top w:w="0" w:type="dxa"/>
            <w:left w:w="108" w:type="dxa"/>
            <w:bottom w:w="0" w:type="dxa"/>
            <w:right w:w="108" w:type="dxa"/>
          </w:tblCellMar>
        </w:tblPrEx>
        <w:trPr>
          <w:trHeight w:val="799"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（二）起重量300kN及以上，或搭设总高度200m及以上，或搭设基础标高在200m及以上的起重机械安装和拆卸工程。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eastAsia="宋体" w:cs="宋体"/>
                <w:color w:val="auto"/>
                <w:kern w:val="2"/>
                <w:sz w:val="21"/>
                <w:szCs w:val="21"/>
                <w:highlight w:val="none"/>
                <w:lang w:eastAsia="zh-CN"/>
              </w:rPr>
              <w:t>☑</w:t>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四、脚手架工程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（一）搭设高度50m及以上的落地式钢管脚手架工程。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eastAsia="宋体" w:cs="宋体"/>
                <w:color w:val="auto"/>
                <w:kern w:val="2"/>
                <w:sz w:val="21"/>
                <w:szCs w:val="21"/>
                <w:highlight w:val="none"/>
                <w:lang w:eastAsia="zh-CN"/>
              </w:rPr>
              <w:t>☑</w:t>
            </w:r>
          </w:p>
        </w:tc>
      </w:tr>
      <w:tr>
        <w:tblPrEx>
          <w:tblCellMar>
            <w:top w:w="0" w:type="dxa"/>
            <w:left w:w="108" w:type="dxa"/>
            <w:bottom w:w="0" w:type="dxa"/>
            <w:right w:w="108" w:type="dxa"/>
          </w:tblCellMar>
        </w:tblPrEx>
        <w:trPr>
          <w:trHeight w:val="799"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（二）提升高度在150m及以上的附着式升降脚手架工程或附着式升降操作平台工程。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eastAsia="宋体" w:cs="宋体"/>
                <w:color w:val="auto"/>
                <w:kern w:val="2"/>
                <w:sz w:val="21"/>
                <w:szCs w:val="21"/>
                <w:highlight w:val="none"/>
                <w:lang w:eastAsia="zh-CN"/>
              </w:rPr>
              <w:t>☑</w:t>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（三）分段架体搭设高度20m及以上的悬挑式脚手架工程。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eastAsia="宋体" w:cs="宋体"/>
                <w:color w:val="auto"/>
                <w:kern w:val="2"/>
                <w:sz w:val="21"/>
                <w:szCs w:val="21"/>
                <w:highlight w:val="none"/>
                <w:lang w:eastAsia="zh-CN"/>
              </w:rPr>
              <w:t>☑</w:t>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五、拆除工程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799"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（一）码头、桥梁、高架、烟囱、水塔或拆除中容易引起有毒有害气（液）体或粉尘扩散、易燃易爆事故发生的特殊建、构筑物的拆除工程。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eastAsia="宋体" w:cs="宋体"/>
                <w:color w:val="auto"/>
                <w:kern w:val="2"/>
                <w:sz w:val="21"/>
                <w:szCs w:val="21"/>
                <w:highlight w:val="none"/>
                <w:lang w:eastAsia="zh-CN"/>
              </w:rPr>
              <w:t>☑</w:t>
            </w:r>
          </w:p>
        </w:tc>
      </w:tr>
      <w:tr>
        <w:tblPrEx>
          <w:tblCellMar>
            <w:top w:w="0" w:type="dxa"/>
            <w:left w:w="108" w:type="dxa"/>
            <w:bottom w:w="0" w:type="dxa"/>
            <w:right w:w="108" w:type="dxa"/>
          </w:tblCellMar>
        </w:tblPrEx>
        <w:trPr>
          <w:trHeight w:val="799"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（二）文物保护建筑、优秀历史建筑或历史文化风貌区影响范围内的拆除工程。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eastAsia="宋体" w:cs="宋体"/>
                <w:color w:val="auto"/>
                <w:kern w:val="2"/>
                <w:sz w:val="21"/>
                <w:szCs w:val="21"/>
                <w:highlight w:val="none"/>
                <w:lang w:eastAsia="zh-CN"/>
              </w:rPr>
              <w:t>☑</w:t>
            </w:r>
          </w:p>
        </w:tc>
      </w:tr>
      <w:tr>
        <w:tblPrEx>
          <w:tblCellMar>
            <w:top w:w="0" w:type="dxa"/>
            <w:left w:w="108" w:type="dxa"/>
            <w:bottom w:w="0" w:type="dxa"/>
            <w:right w:w="108" w:type="dxa"/>
          </w:tblCellMar>
        </w:tblPrEx>
        <w:trPr>
          <w:trHeight w:val="45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六、暗挖工程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采用矿山法、盾构法、顶管法施工的隧道、洞室工程。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eastAsia="宋体" w:cs="宋体"/>
                <w:color w:val="auto"/>
                <w:kern w:val="2"/>
                <w:sz w:val="21"/>
                <w:szCs w:val="21"/>
                <w:highlight w:val="none"/>
                <w:lang w:eastAsia="zh-CN"/>
              </w:rPr>
              <w:t>☑</w:t>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七、其它</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（一）施工高度50m及以上的建筑幕墙安装工程。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eastAsia="宋体" w:cs="宋体"/>
                <w:color w:val="auto"/>
                <w:kern w:val="2"/>
                <w:sz w:val="21"/>
                <w:szCs w:val="21"/>
                <w:highlight w:val="none"/>
                <w:lang w:eastAsia="zh-CN"/>
              </w:rPr>
              <w:t>☑</w:t>
            </w:r>
          </w:p>
        </w:tc>
      </w:tr>
      <w:tr>
        <w:tblPrEx>
          <w:tblCellMar>
            <w:top w:w="0" w:type="dxa"/>
            <w:left w:w="108" w:type="dxa"/>
            <w:bottom w:w="0" w:type="dxa"/>
            <w:right w:w="108" w:type="dxa"/>
          </w:tblCellMar>
        </w:tblPrEx>
        <w:trPr>
          <w:trHeight w:val="799"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（二）跨度36m及以上的钢结构安装工程，或跨度60m及以上的网架和索膜结构安装工程。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eastAsia="宋体" w:cs="宋体"/>
                <w:color w:val="auto"/>
                <w:kern w:val="2"/>
                <w:sz w:val="21"/>
                <w:szCs w:val="21"/>
                <w:highlight w:val="none"/>
                <w:lang w:eastAsia="zh-CN"/>
              </w:rPr>
              <w:t>☑</w:t>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（三）开挖深度16m及以上的人工挖孔桩工程。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eastAsia="宋体" w:cs="宋体"/>
                <w:color w:val="auto"/>
                <w:kern w:val="2"/>
                <w:sz w:val="21"/>
                <w:szCs w:val="21"/>
                <w:highlight w:val="none"/>
                <w:lang w:eastAsia="zh-CN"/>
              </w:rPr>
              <w:t>☑</w:t>
            </w:r>
          </w:p>
        </w:tc>
      </w:tr>
      <w:tr>
        <w:tblPrEx>
          <w:tblCellMar>
            <w:top w:w="0" w:type="dxa"/>
            <w:left w:w="108" w:type="dxa"/>
            <w:bottom w:w="0" w:type="dxa"/>
            <w:right w:w="108" w:type="dxa"/>
          </w:tblCellMar>
        </w:tblPrEx>
        <w:trPr>
          <w:trHeight w:val="404"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（四）水下作业工程。</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eastAsia="宋体" w:cs="宋体"/>
                <w:color w:val="auto"/>
                <w:kern w:val="2"/>
                <w:sz w:val="21"/>
                <w:szCs w:val="21"/>
                <w:highlight w:val="none"/>
                <w:lang w:eastAsia="zh-CN"/>
              </w:rPr>
              <w:t>☑</w:t>
            </w:r>
          </w:p>
        </w:tc>
      </w:tr>
      <w:tr>
        <w:tblPrEx>
          <w:tblCellMar>
            <w:top w:w="0" w:type="dxa"/>
            <w:left w:w="108" w:type="dxa"/>
            <w:bottom w:w="0" w:type="dxa"/>
            <w:right w:w="108" w:type="dxa"/>
          </w:tblCellMar>
        </w:tblPrEx>
        <w:trPr>
          <w:trHeight w:val="420" w:hRule="atLeast"/>
          <w:jc w:val="center"/>
        </w:trPr>
        <w:tc>
          <w:tcPr>
            <w:tcW w:w="8159" w:type="dxa"/>
            <w:gridSpan w:val="2"/>
            <w:tcBorders>
              <w:top w:val="single" w:color="auto" w:sz="4" w:space="0"/>
              <w:left w:val="single" w:color="auto" w:sz="4" w:space="0"/>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（五）重量1000kN及以上的大型结构整体顶升、平移、转体等施工工艺。</w:t>
            </w:r>
          </w:p>
        </w:tc>
        <w:tc>
          <w:tcPr>
            <w:tcW w:w="1467" w:type="dxa"/>
            <w:tcBorders>
              <w:top w:val="single" w:color="auto" w:sz="4" w:space="0"/>
              <w:left w:val="nil"/>
              <w:bottom w:val="single" w:color="auto"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是□否</w:t>
            </w:r>
            <w:r>
              <w:rPr>
                <w:rFonts w:hint="eastAsia" w:ascii="宋体" w:hAnsi="宋体" w:eastAsia="宋体" w:cs="宋体"/>
                <w:color w:val="auto"/>
                <w:kern w:val="2"/>
                <w:sz w:val="21"/>
                <w:szCs w:val="21"/>
                <w:highlight w:val="none"/>
                <w:lang w:eastAsia="zh-CN"/>
              </w:rPr>
              <w:t>☑</w:t>
            </w:r>
          </w:p>
        </w:tc>
      </w:tr>
      <w:tr>
        <w:tblPrEx>
          <w:tblCellMar>
            <w:top w:w="0" w:type="dxa"/>
            <w:left w:w="108" w:type="dxa"/>
            <w:bottom w:w="0" w:type="dxa"/>
            <w:right w:w="108" w:type="dxa"/>
          </w:tblCellMar>
        </w:tblPrEx>
        <w:trPr>
          <w:trHeight w:val="799" w:hRule="atLeast"/>
          <w:jc w:val="center"/>
        </w:trPr>
        <w:tc>
          <w:tcPr>
            <w:tcW w:w="8159" w:type="dxa"/>
            <w:gridSpan w:val="2"/>
            <w:tcBorders>
              <w:top w:val="single" w:color="auto" w:sz="4" w:space="0"/>
              <w:left w:val="single" w:color="auto" w:sz="4" w:space="0"/>
              <w:bottom w:val="single" w:color="000000"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（六）采用新技术、新工艺、新材料、新设备可能影响工程施工安全，尚无国家、行业及地方技术标准的分部分项工程。</w:t>
            </w:r>
          </w:p>
        </w:tc>
        <w:tc>
          <w:tcPr>
            <w:tcW w:w="1467" w:type="dxa"/>
            <w:tcBorders>
              <w:top w:val="single" w:color="auto" w:sz="4" w:space="0"/>
              <w:left w:val="nil"/>
              <w:bottom w:val="single" w:color="000000"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是</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否</w:t>
            </w:r>
            <w:r>
              <w:rPr>
                <w:rFonts w:hint="eastAsia" w:ascii="宋体" w:hAnsi="宋体" w:cs="宋体"/>
                <w:color w:val="auto"/>
                <w:kern w:val="2"/>
                <w:sz w:val="21"/>
                <w:szCs w:val="21"/>
                <w:highlight w:val="none"/>
                <w:lang w:eastAsia="zh-CN"/>
              </w:rPr>
              <w:t>☑</w:t>
            </w:r>
          </w:p>
        </w:tc>
      </w:tr>
      <w:tr>
        <w:tblPrEx>
          <w:tblCellMar>
            <w:top w:w="0" w:type="dxa"/>
            <w:left w:w="108" w:type="dxa"/>
            <w:bottom w:w="0" w:type="dxa"/>
            <w:right w:w="108" w:type="dxa"/>
          </w:tblCellMar>
        </w:tblPrEx>
        <w:trPr>
          <w:trHeight w:val="1992" w:hRule="atLeast"/>
          <w:jc w:val="center"/>
        </w:trPr>
        <w:tc>
          <w:tcPr>
            <w:tcW w:w="861" w:type="dxa"/>
            <w:tcBorders>
              <w:top w:val="single" w:color="auto" w:sz="4" w:space="0"/>
              <w:left w:val="single" w:color="auto" w:sz="4" w:space="0"/>
              <w:bottom w:val="single" w:color="000000"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备注</w:t>
            </w:r>
          </w:p>
        </w:tc>
        <w:tc>
          <w:tcPr>
            <w:tcW w:w="8765" w:type="dxa"/>
            <w:gridSpan w:val="2"/>
            <w:tcBorders>
              <w:top w:val="single" w:color="auto" w:sz="4" w:space="0"/>
              <w:left w:val="single" w:color="auto" w:sz="4" w:space="0"/>
              <w:bottom w:val="single" w:color="000000" w:sz="4" w:space="0"/>
              <w:right w:val="single" w:color="auto" w:sz="4" w:space="0"/>
            </w:tcBorders>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按照《危险性较大的分部分项工程安全管理规定》（住房城乡建设部令第37号）和住房城乡建设部办公厅关于实施《危险性较大的分部分项工程安全管理规定》有关问题的通知要求 （建办质【2018】31号），施工单位在投标时需对本工程涉及的危险性较大的分部分项工程补充完善危大工程清单并明确相应的安全管理措施。</w:t>
            </w:r>
          </w:p>
        </w:tc>
      </w:tr>
    </w:tbl>
    <w:p>
      <w:pPr>
        <w:shd w:val="clear" w:fill="auto"/>
        <w:spacing w:before="0" w:after="0" w:line="360" w:lineRule="auto"/>
        <w:jc w:val="both"/>
        <w:outlineLvl w:val="9"/>
        <w:rPr>
          <w:rFonts w:hint="eastAsia"/>
          <w:color w:val="000000"/>
          <w:sz w:val="32"/>
          <w:szCs w:val="32"/>
          <w:highlight w:val="none"/>
        </w:rPr>
      </w:pPr>
    </w:p>
    <w:p>
      <w:pPr>
        <w:shd w:val="clear" w:fill="auto"/>
        <w:spacing w:before="0" w:after="0" w:line="360" w:lineRule="auto"/>
        <w:jc w:val="center"/>
        <w:outlineLvl w:val="9"/>
        <w:rPr>
          <w:rFonts w:hint="eastAsia"/>
          <w:color w:val="000000"/>
          <w:sz w:val="32"/>
          <w:szCs w:val="32"/>
          <w:highlight w:val="none"/>
        </w:rPr>
      </w:pPr>
    </w:p>
    <w:p>
      <w:pPr>
        <w:shd w:val="clear" w:fill="auto"/>
        <w:rPr>
          <w:rFonts w:hint="eastAsia"/>
          <w:color w:val="000000"/>
          <w:sz w:val="32"/>
          <w:szCs w:val="32"/>
          <w:highlight w:val="none"/>
        </w:rPr>
      </w:pPr>
      <w:r>
        <w:rPr>
          <w:rFonts w:hint="eastAsia"/>
          <w:color w:val="000000"/>
          <w:sz w:val="32"/>
          <w:szCs w:val="32"/>
          <w:highlight w:val="none"/>
        </w:rPr>
        <w:br w:type="page"/>
      </w:r>
    </w:p>
    <w:p>
      <w:pPr>
        <w:pStyle w:val="2"/>
        <w:shd w:val="clear" w:fill="auto"/>
        <w:spacing w:before="0" w:after="0" w:line="360" w:lineRule="auto"/>
        <w:jc w:val="center"/>
        <w:rPr>
          <w:rFonts w:hint="eastAsia" w:ascii="宋体" w:hAnsi="宋体"/>
          <w:color w:val="000000"/>
          <w:sz w:val="28"/>
          <w:szCs w:val="28"/>
          <w:highlight w:val="none"/>
        </w:rPr>
      </w:pPr>
      <w:bookmarkStart w:id="310" w:name="_Toc30937"/>
      <w:bookmarkStart w:id="311" w:name="_Toc20113"/>
      <w:bookmarkStart w:id="312" w:name="_Toc30710"/>
      <w:bookmarkStart w:id="313" w:name="_Toc5511"/>
      <w:r>
        <w:rPr>
          <w:rFonts w:hint="eastAsia"/>
          <w:color w:val="000000"/>
          <w:sz w:val="32"/>
          <w:szCs w:val="32"/>
          <w:highlight w:val="none"/>
        </w:rPr>
        <w:t xml:space="preserve">第三章 </w:t>
      </w:r>
      <w:bookmarkEnd w:id="308"/>
      <w:r>
        <w:rPr>
          <w:rFonts w:hint="eastAsia"/>
          <w:color w:val="000000"/>
          <w:sz w:val="32"/>
          <w:szCs w:val="32"/>
          <w:highlight w:val="none"/>
        </w:rPr>
        <w:t>评标办法（综合评估法）</w:t>
      </w:r>
      <w:bookmarkEnd w:id="310"/>
      <w:bookmarkEnd w:id="311"/>
      <w:bookmarkEnd w:id="312"/>
      <w:bookmarkEnd w:id="313"/>
    </w:p>
    <w:p>
      <w:pPr>
        <w:shd w:val="clear" w:fill="auto"/>
        <w:spacing w:line="360" w:lineRule="auto"/>
        <w:jc w:val="center"/>
        <w:rPr>
          <w:rFonts w:hint="eastAsia"/>
          <w:b/>
          <w:color w:val="000000"/>
          <w:kern w:val="0"/>
          <w:sz w:val="24"/>
          <w:highlight w:val="none"/>
        </w:rPr>
      </w:pPr>
      <w:bookmarkStart w:id="314" w:name="_Toc319307026"/>
      <w:bookmarkStart w:id="315" w:name="_Toc286069557"/>
      <w:r>
        <w:rPr>
          <w:rFonts w:hint="eastAsia"/>
          <w:b/>
          <w:color w:val="000000"/>
          <w:kern w:val="0"/>
          <w:sz w:val="24"/>
          <w:highlight w:val="none"/>
        </w:rPr>
        <w:t>评标办法前附表</w:t>
      </w:r>
      <w:bookmarkEnd w:id="314"/>
      <w:bookmarkEnd w:id="315"/>
    </w:p>
    <w:tbl>
      <w:tblPr>
        <w:tblStyle w:val="28"/>
        <w:tblW w:w="984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282"/>
        <w:gridCol w:w="1176"/>
        <w:gridCol w:w="49"/>
        <w:gridCol w:w="1660"/>
        <w:gridCol w:w="568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2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2"/>
                <w:sz w:val="21"/>
                <w:szCs w:val="21"/>
                <w:highlight w:val="none"/>
              </w:rPr>
              <w:t>条款号</w:t>
            </w:r>
          </w:p>
        </w:tc>
        <w:tc>
          <w:tcPr>
            <w:tcW w:w="288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2"/>
                <w:sz w:val="21"/>
                <w:szCs w:val="21"/>
                <w:highlight w:val="none"/>
              </w:rPr>
              <w:t>评审因素</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2"/>
                <w:sz w:val="21"/>
                <w:szCs w:val="21"/>
                <w:highlight w:val="none"/>
              </w:rPr>
              <w:t>评审标准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28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2.1.1</w:t>
            </w:r>
          </w:p>
        </w:tc>
        <w:tc>
          <w:tcPr>
            <w:tcW w:w="117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形式评审标准</w:t>
            </w:r>
          </w:p>
        </w:tc>
        <w:tc>
          <w:tcPr>
            <w:tcW w:w="1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投标人名称</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与营业执照一致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1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left"/>
              <w:rPr>
                <w:rFonts w:hint="eastAsia" w:ascii="宋体" w:hAnsi="宋体" w:eastAsia="宋体" w:cs="宋体"/>
                <w:color w:val="auto"/>
                <w:kern w:val="0"/>
                <w:sz w:val="21"/>
                <w:szCs w:val="21"/>
                <w:highlight w:val="none"/>
              </w:rPr>
            </w:pPr>
          </w:p>
        </w:tc>
        <w:tc>
          <w:tcPr>
            <w:tcW w:w="1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投标函签字盖章</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有法定代表人或其委托代理人签字并加盖单位公章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1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left"/>
              <w:rPr>
                <w:rFonts w:hint="eastAsia" w:ascii="宋体" w:hAnsi="宋体" w:eastAsia="宋体" w:cs="宋体"/>
                <w:color w:val="auto"/>
                <w:kern w:val="0"/>
                <w:sz w:val="21"/>
                <w:szCs w:val="21"/>
                <w:highlight w:val="none"/>
              </w:rPr>
            </w:pPr>
          </w:p>
        </w:tc>
        <w:tc>
          <w:tcPr>
            <w:tcW w:w="1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投标文件格式</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符合第</w:t>
            </w: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章“投标文件格式”的要求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1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left"/>
              <w:rPr>
                <w:rFonts w:hint="eastAsia" w:ascii="宋体" w:hAnsi="宋体" w:eastAsia="宋体" w:cs="宋体"/>
                <w:color w:val="auto"/>
                <w:kern w:val="0"/>
                <w:sz w:val="21"/>
                <w:szCs w:val="21"/>
                <w:highlight w:val="none"/>
              </w:rPr>
            </w:pPr>
          </w:p>
        </w:tc>
        <w:tc>
          <w:tcPr>
            <w:tcW w:w="1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报价唯一</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只能有一个有效报价，且不高于最高投标限价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1282"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2.1.2</w:t>
            </w:r>
          </w:p>
        </w:tc>
        <w:tc>
          <w:tcPr>
            <w:tcW w:w="1176"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资格评审标准</w:t>
            </w:r>
          </w:p>
        </w:tc>
        <w:tc>
          <w:tcPr>
            <w:tcW w:w="1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营业执照</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投标人须在中华人民共和国境内注册具有独立法人资格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1282"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2"/>
                <w:sz w:val="21"/>
                <w:szCs w:val="21"/>
                <w:highlight w:val="none"/>
              </w:rPr>
            </w:pPr>
          </w:p>
        </w:tc>
        <w:tc>
          <w:tcPr>
            <w:tcW w:w="1176"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0"/>
                <w:sz w:val="21"/>
                <w:szCs w:val="21"/>
                <w:highlight w:val="none"/>
              </w:rPr>
            </w:pPr>
          </w:p>
        </w:tc>
        <w:tc>
          <w:tcPr>
            <w:tcW w:w="1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项目负责人要求</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符合第二章“投标人须知”第1.4.1 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1282"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2"/>
                <w:sz w:val="21"/>
                <w:szCs w:val="21"/>
                <w:highlight w:val="none"/>
              </w:rPr>
            </w:pPr>
          </w:p>
        </w:tc>
        <w:tc>
          <w:tcPr>
            <w:tcW w:w="1176"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0"/>
                <w:sz w:val="21"/>
                <w:szCs w:val="21"/>
                <w:highlight w:val="none"/>
              </w:rPr>
            </w:pPr>
          </w:p>
        </w:tc>
        <w:tc>
          <w:tcPr>
            <w:tcW w:w="1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业绩要求</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符合第二章“投标人须知”第1.4.1 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1282"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2"/>
                <w:sz w:val="21"/>
                <w:szCs w:val="21"/>
                <w:highlight w:val="none"/>
              </w:rPr>
            </w:pPr>
          </w:p>
        </w:tc>
        <w:tc>
          <w:tcPr>
            <w:tcW w:w="1176"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0"/>
                <w:sz w:val="21"/>
                <w:szCs w:val="21"/>
                <w:highlight w:val="none"/>
              </w:rPr>
            </w:pPr>
          </w:p>
        </w:tc>
        <w:tc>
          <w:tcPr>
            <w:tcW w:w="1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财务要求</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符合第二章“投标人须知”第1.4.1 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1282"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2"/>
                <w:sz w:val="21"/>
                <w:szCs w:val="21"/>
                <w:highlight w:val="none"/>
              </w:rPr>
            </w:pPr>
          </w:p>
        </w:tc>
        <w:tc>
          <w:tcPr>
            <w:tcW w:w="1176"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0"/>
                <w:sz w:val="21"/>
                <w:szCs w:val="21"/>
                <w:highlight w:val="none"/>
              </w:rPr>
            </w:pPr>
          </w:p>
        </w:tc>
        <w:tc>
          <w:tcPr>
            <w:tcW w:w="1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000000"/>
                <w:sz w:val="21"/>
                <w:szCs w:val="21"/>
                <w:highlight w:val="none"/>
              </w:rPr>
              <w:t>信誉要求</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符合第二章“投标人须知”第1.4.1 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1282"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2"/>
                <w:sz w:val="21"/>
                <w:szCs w:val="21"/>
                <w:highlight w:val="none"/>
              </w:rPr>
            </w:pPr>
          </w:p>
        </w:tc>
        <w:tc>
          <w:tcPr>
            <w:tcW w:w="1176"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0"/>
                <w:sz w:val="21"/>
                <w:szCs w:val="21"/>
                <w:highlight w:val="none"/>
              </w:rPr>
            </w:pPr>
          </w:p>
        </w:tc>
        <w:tc>
          <w:tcPr>
            <w:tcW w:w="1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其他要求</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符合第二章“投标人须知”第1.4.1 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1282"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2.1.3</w:t>
            </w:r>
          </w:p>
        </w:tc>
        <w:tc>
          <w:tcPr>
            <w:tcW w:w="1176"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响应性评审标准</w:t>
            </w:r>
          </w:p>
          <w:p>
            <w:pPr>
              <w:widowControl/>
              <w:shd w:val="clear" w:fill="auto"/>
              <w:autoSpaceDN w:val="0"/>
              <w:spacing w:line="360" w:lineRule="auto"/>
              <w:jc w:val="center"/>
              <w:rPr>
                <w:rFonts w:hint="eastAsia" w:ascii="宋体" w:hAnsi="宋体" w:eastAsia="宋体" w:cs="宋体"/>
                <w:color w:val="auto"/>
                <w:kern w:val="0"/>
                <w:sz w:val="21"/>
                <w:szCs w:val="21"/>
                <w:highlight w:val="none"/>
              </w:rPr>
            </w:pPr>
          </w:p>
        </w:tc>
        <w:tc>
          <w:tcPr>
            <w:tcW w:w="1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投标范围</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1282"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176"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left"/>
              <w:rPr>
                <w:rFonts w:hint="eastAsia" w:ascii="宋体" w:hAnsi="宋体" w:eastAsia="宋体" w:cs="宋体"/>
                <w:color w:val="auto"/>
                <w:kern w:val="0"/>
                <w:sz w:val="21"/>
                <w:szCs w:val="21"/>
                <w:highlight w:val="none"/>
              </w:rPr>
            </w:pPr>
          </w:p>
        </w:tc>
        <w:tc>
          <w:tcPr>
            <w:tcW w:w="1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工期要求</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282"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176"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left"/>
              <w:rPr>
                <w:rFonts w:hint="eastAsia" w:ascii="宋体" w:hAnsi="宋体" w:eastAsia="宋体" w:cs="宋体"/>
                <w:color w:val="auto"/>
                <w:kern w:val="0"/>
                <w:sz w:val="21"/>
                <w:szCs w:val="21"/>
                <w:highlight w:val="none"/>
              </w:rPr>
            </w:pPr>
          </w:p>
        </w:tc>
        <w:tc>
          <w:tcPr>
            <w:tcW w:w="1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质量要求</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1282"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176"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left"/>
              <w:rPr>
                <w:rFonts w:hint="eastAsia" w:ascii="宋体" w:hAnsi="宋体" w:eastAsia="宋体" w:cs="宋体"/>
                <w:color w:val="auto"/>
                <w:kern w:val="0"/>
                <w:sz w:val="21"/>
                <w:szCs w:val="21"/>
                <w:highlight w:val="none"/>
              </w:rPr>
            </w:pPr>
          </w:p>
        </w:tc>
        <w:tc>
          <w:tcPr>
            <w:tcW w:w="1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质保期（养护期）</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符合第二章“投标人须知”第1.3.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1282"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176"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left"/>
              <w:rPr>
                <w:rFonts w:hint="eastAsia" w:ascii="宋体" w:hAnsi="宋体" w:eastAsia="宋体" w:cs="宋体"/>
                <w:color w:val="auto"/>
                <w:kern w:val="0"/>
                <w:sz w:val="21"/>
                <w:szCs w:val="21"/>
                <w:highlight w:val="none"/>
              </w:rPr>
            </w:pPr>
          </w:p>
        </w:tc>
        <w:tc>
          <w:tcPr>
            <w:tcW w:w="1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1"/>
                <w:szCs w:val="21"/>
                <w:highlight w:val="none"/>
              </w:rPr>
              <w:t>安全管理目标</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符合第二章“投标人须知”第1.3.</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1282"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176"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left"/>
              <w:rPr>
                <w:rFonts w:hint="eastAsia" w:ascii="宋体" w:hAnsi="宋体" w:eastAsia="宋体" w:cs="宋体"/>
                <w:color w:val="auto"/>
                <w:kern w:val="0"/>
                <w:sz w:val="21"/>
                <w:szCs w:val="21"/>
                <w:highlight w:val="none"/>
              </w:rPr>
            </w:pPr>
          </w:p>
        </w:tc>
        <w:tc>
          <w:tcPr>
            <w:tcW w:w="1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投标有效期</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282"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176"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left"/>
              <w:rPr>
                <w:rFonts w:hint="eastAsia" w:ascii="宋体" w:hAnsi="宋体" w:eastAsia="宋体" w:cs="宋体"/>
                <w:color w:val="auto"/>
                <w:kern w:val="0"/>
                <w:sz w:val="21"/>
                <w:szCs w:val="21"/>
                <w:highlight w:val="none"/>
              </w:rPr>
            </w:pPr>
          </w:p>
        </w:tc>
        <w:tc>
          <w:tcPr>
            <w:tcW w:w="1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投标保证金</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符合第二章“投标人须知”第3.4.1项规定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1282"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176"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left"/>
              <w:rPr>
                <w:rFonts w:hint="eastAsia" w:ascii="宋体" w:hAnsi="宋体" w:eastAsia="宋体" w:cs="宋体"/>
                <w:color w:val="auto"/>
                <w:kern w:val="0"/>
                <w:sz w:val="21"/>
                <w:szCs w:val="21"/>
                <w:highlight w:val="none"/>
              </w:rPr>
            </w:pPr>
          </w:p>
        </w:tc>
        <w:tc>
          <w:tcPr>
            <w:tcW w:w="1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权利义务</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w:t>
            </w:r>
            <w:r>
              <w:rPr>
                <w:rFonts w:hint="eastAsia" w:ascii="宋体" w:hAnsi="宋体" w:eastAsia="宋体" w:cs="宋体"/>
                <w:color w:val="auto"/>
                <w:kern w:val="2"/>
                <w:sz w:val="21"/>
                <w:szCs w:val="21"/>
                <w:highlight w:val="none"/>
                <w:lang w:eastAsia="zh-CN"/>
              </w:rPr>
              <w:t>五</w:t>
            </w:r>
            <w:r>
              <w:rPr>
                <w:rFonts w:hint="eastAsia" w:ascii="宋体" w:hAnsi="宋体" w:eastAsia="宋体" w:cs="宋体"/>
                <w:color w:val="auto"/>
                <w:kern w:val="2"/>
                <w:sz w:val="21"/>
                <w:szCs w:val="21"/>
                <w:highlight w:val="none"/>
              </w:rPr>
              <w:t>章“合同条款及</w:t>
            </w:r>
            <w:r>
              <w:rPr>
                <w:rFonts w:hint="eastAsia" w:ascii="宋体" w:hAnsi="宋体" w:eastAsia="宋体" w:cs="宋体"/>
                <w:color w:val="auto"/>
                <w:kern w:val="2"/>
                <w:sz w:val="21"/>
                <w:szCs w:val="21"/>
                <w:highlight w:val="none"/>
                <w:lang w:val="en-US" w:eastAsia="zh-CN"/>
              </w:rPr>
              <w:t>格</w:t>
            </w:r>
            <w:r>
              <w:rPr>
                <w:rFonts w:hint="eastAsia" w:ascii="宋体" w:hAnsi="宋体" w:eastAsia="宋体" w:cs="宋体"/>
                <w:color w:val="auto"/>
                <w:kern w:val="2"/>
                <w:sz w:val="21"/>
                <w:szCs w:val="21"/>
                <w:highlight w:val="none"/>
              </w:rPr>
              <w:t>式”规定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1282"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176"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left"/>
              <w:rPr>
                <w:rFonts w:hint="eastAsia" w:ascii="宋体" w:hAnsi="宋体" w:eastAsia="宋体" w:cs="宋体"/>
                <w:color w:val="auto"/>
                <w:kern w:val="0"/>
                <w:sz w:val="21"/>
                <w:szCs w:val="21"/>
                <w:highlight w:val="none"/>
              </w:rPr>
            </w:pPr>
          </w:p>
        </w:tc>
        <w:tc>
          <w:tcPr>
            <w:tcW w:w="1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已标价的工程量清单</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w:t>
            </w:r>
            <w:r>
              <w:rPr>
                <w:rFonts w:hint="eastAsia" w:ascii="宋体" w:hAnsi="宋体" w:eastAsia="宋体" w:cs="宋体"/>
                <w:color w:val="auto"/>
                <w:kern w:val="2"/>
                <w:sz w:val="21"/>
                <w:szCs w:val="21"/>
                <w:highlight w:val="none"/>
                <w:lang w:eastAsia="zh-CN"/>
              </w:rPr>
              <w:t>六</w:t>
            </w:r>
            <w:r>
              <w:rPr>
                <w:rFonts w:hint="eastAsia" w:ascii="宋体" w:hAnsi="宋体" w:eastAsia="宋体" w:cs="宋体"/>
                <w:color w:val="auto"/>
                <w:kern w:val="2"/>
                <w:sz w:val="21"/>
                <w:szCs w:val="21"/>
                <w:highlight w:val="none"/>
              </w:rPr>
              <w:t>章“工程量清单”给出的范围及数量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1282"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176"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left"/>
              <w:rPr>
                <w:rFonts w:hint="eastAsia" w:ascii="宋体" w:hAnsi="宋体" w:eastAsia="宋体" w:cs="宋体"/>
                <w:color w:val="auto"/>
                <w:kern w:val="0"/>
                <w:sz w:val="21"/>
                <w:szCs w:val="21"/>
                <w:highlight w:val="none"/>
              </w:rPr>
            </w:pPr>
          </w:p>
        </w:tc>
        <w:tc>
          <w:tcPr>
            <w:tcW w:w="1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技术标准和要求</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E w:val="0"/>
              <w:autoSpaceDN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w:t>
            </w:r>
            <w:r>
              <w:rPr>
                <w:rFonts w:hint="eastAsia" w:ascii="宋体" w:hAnsi="宋体" w:eastAsia="宋体" w:cs="宋体"/>
                <w:color w:val="auto"/>
                <w:kern w:val="2"/>
                <w:sz w:val="21"/>
                <w:szCs w:val="21"/>
                <w:highlight w:val="none"/>
                <w:lang w:eastAsia="zh-CN"/>
              </w:rPr>
              <w:t>八</w:t>
            </w:r>
            <w:r>
              <w:rPr>
                <w:rFonts w:hint="eastAsia" w:ascii="宋体" w:hAnsi="宋体" w:eastAsia="宋体" w:cs="宋体"/>
                <w:color w:val="auto"/>
                <w:kern w:val="2"/>
                <w:sz w:val="21"/>
                <w:szCs w:val="21"/>
                <w:highlight w:val="none"/>
              </w:rPr>
              <w:t>章“技术标准和要求”规定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2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2"/>
                <w:sz w:val="21"/>
                <w:szCs w:val="21"/>
                <w:highlight w:val="none"/>
              </w:rPr>
              <w:t>条款号</w:t>
            </w:r>
          </w:p>
        </w:tc>
        <w:tc>
          <w:tcPr>
            <w:tcW w:w="288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ind w:firstLine="42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2"/>
                <w:sz w:val="21"/>
                <w:szCs w:val="21"/>
                <w:highlight w:val="none"/>
              </w:rPr>
              <w:t>评分因素</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ind w:firstLine="1132"/>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 xml:space="preserve">    </w:t>
            </w:r>
            <w:r>
              <w:rPr>
                <w:rFonts w:hint="eastAsia" w:ascii="宋体" w:hAnsi="宋体" w:eastAsia="宋体" w:cs="宋体"/>
                <w:b/>
                <w:bCs/>
                <w:color w:val="auto"/>
                <w:kern w:val="2"/>
                <w:sz w:val="21"/>
                <w:szCs w:val="21"/>
                <w:highlight w:val="none"/>
              </w:rPr>
              <w:t xml:space="preserve">  内容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2.2.1</w:t>
            </w:r>
          </w:p>
        </w:tc>
        <w:tc>
          <w:tcPr>
            <w:tcW w:w="288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分值构成</w:t>
            </w:r>
          </w:p>
          <w:p>
            <w:pPr>
              <w:widowControl/>
              <w:shd w:val="clear" w:fill="auto"/>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(总分100分)</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shd w:val="clear" w:fill="auto"/>
              <w:autoSpaceDN w:val="0"/>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技术标</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40</w:t>
            </w:r>
            <w:r>
              <w:rPr>
                <w:rFonts w:hint="eastAsia" w:ascii="宋体" w:hAnsi="宋体" w:eastAsia="宋体" w:cs="宋体"/>
                <w:color w:val="auto"/>
                <w:kern w:val="2"/>
                <w:sz w:val="21"/>
                <w:szCs w:val="21"/>
                <w:highlight w:val="none"/>
              </w:rPr>
              <w:t xml:space="preserve">分 </w:t>
            </w:r>
          </w:p>
          <w:p>
            <w:pPr>
              <w:widowControl/>
              <w:shd w:val="clear" w:fill="auto"/>
              <w:autoSpaceDN w:val="0"/>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综合标</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widowControl/>
              <w:shd w:val="clear" w:fill="auto"/>
              <w:autoSpaceDN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投标报价：</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0分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2.2.2</w:t>
            </w:r>
          </w:p>
        </w:tc>
        <w:tc>
          <w:tcPr>
            <w:tcW w:w="288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评标基准价的计算方法</w:t>
            </w:r>
          </w:p>
        </w:tc>
        <w:tc>
          <w:tcPr>
            <w:tcW w:w="56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有效投标报价：通过初步评审（形式评审、资格评审、响应性评审）的投标人的投标总报价</w:t>
            </w:r>
            <w:r>
              <w:rPr>
                <w:rFonts w:hint="eastAsia" w:ascii="宋体" w:hAnsi="宋体" w:eastAsia="宋体" w:cs="宋体"/>
                <w:color w:val="auto"/>
                <w:sz w:val="21"/>
                <w:szCs w:val="21"/>
                <w:highlight w:val="none"/>
                <w:lang w:eastAsia="zh-CN"/>
              </w:rPr>
              <w:t>。</w:t>
            </w:r>
          </w:p>
          <w:p>
            <w:pPr>
              <w:shd w:val="clear" w:fill="auto"/>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有效投标报价在最高投标限价的9</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%-100%（含9</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%、100%，下同）之间投标人的投标报价参与评标基准值的计算，否则不参与评标基准价的计算，但参与报价得分计算。</w:t>
            </w:r>
          </w:p>
          <w:p>
            <w:pPr>
              <w:shd w:val="clear" w:fill="auto"/>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评标基准值=最高投标限价×50%+有效投标报价算术平均值×50%</w:t>
            </w:r>
          </w:p>
          <w:p>
            <w:pPr>
              <w:shd w:val="clear" w:fill="auto"/>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有效投标报价算术平均值的确定:当有效投标报价多于5家时，为各有效报价去除一个最高价和一个最低价的算术平均值；当有效投标报价少于等于5家时，则为所有有效投标报价的算术平均值。</w:t>
            </w:r>
          </w:p>
          <w:p>
            <w:pPr>
              <w:shd w:val="clear" w:fill="auto"/>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若投标人报价均不在最高投标限价的9</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%-100%的范围内，评标基准值=最高投标限价*95%。</w:t>
            </w:r>
          </w:p>
          <w:p>
            <w:pPr>
              <w:keepNext w:val="0"/>
              <w:keepLines w:val="0"/>
              <w:pageBreakBefore w:val="0"/>
              <w:widowControl/>
              <w:shd w:val="clear" w:fill="auto"/>
              <w:kinsoku/>
              <w:wordWrap/>
              <w:overflowPunct/>
              <w:topLinePunct w:val="0"/>
              <w:autoSpaceDE/>
              <w:autoSpaceDN w:val="0"/>
              <w:bidi w:val="0"/>
              <w:adjustRightInd/>
              <w:snapToGrid/>
              <w:spacing w:line="440" w:lineRule="exact"/>
              <w:jc w:val="both"/>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sz w:val="21"/>
                <w:szCs w:val="21"/>
                <w:highlight w:val="none"/>
              </w:rPr>
              <w:t>备注：以上内容中涉及的最高投标限价及投标报价均不含不可竞争费（不可竞争费是指规费、税金、安全文明施工费、暂列金额、专业工程暂估价）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2.2.3</w:t>
            </w:r>
          </w:p>
        </w:tc>
        <w:tc>
          <w:tcPr>
            <w:tcW w:w="2885"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评</w:t>
            </w:r>
            <w:r>
              <w:rPr>
                <w:rFonts w:hint="eastAsia" w:ascii="宋体" w:hAnsi="宋体" w:eastAsia="宋体" w:cs="宋体"/>
                <w:color w:val="auto"/>
                <w:kern w:val="2"/>
                <w:sz w:val="21"/>
                <w:szCs w:val="21"/>
                <w:highlight w:val="none"/>
              </w:rPr>
              <w:t>标报价的偏差率计算公式</w:t>
            </w: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keepNext w:val="0"/>
              <w:keepLines w:val="0"/>
              <w:pageBreakBefore w:val="0"/>
              <w:widowControl/>
              <w:shd w:val="clear" w:fill="auto"/>
              <w:kinsoku/>
              <w:wordWrap/>
              <w:overflowPunct/>
              <w:topLinePunct w:val="0"/>
              <w:autoSpaceDE/>
              <w:autoSpaceDN w:val="0"/>
              <w:bidi w:val="0"/>
              <w:adjustRightInd/>
              <w:snapToGrid/>
              <w:spacing w:line="440" w:lineRule="exact"/>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偏差率=（评标价-评标基准价）/评标基准价×100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82" w:type="dxa"/>
            <w:vMerge w:val="restart"/>
            <w:tcBorders>
              <w:top w:val="single" w:color="000000" w:sz="4" w:space="0"/>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2.2.4</w:t>
            </w:r>
          </w:p>
          <w:p>
            <w:pPr>
              <w:widowControl/>
              <w:shd w:val="clear" w:fill="auto"/>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p>
            <w:pPr>
              <w:widowControl/>
              <w:shd w:val="clear" w:fill="auto"/>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技术标</w:t>
            </w:r>
            <w:r>
              <w:rPr>
                <w:rFonts w:hint="eastAsia" w:ascii="宋体" w:hAnsi="宋体" w:eastAsia="宋体" w:cs="宋体"/>
                <w:color w:val="auto"/>
                <w:kern w:val="2"/>
                <w:sz w:val="21"/>
                <w:szCs w:val="21"/>
                <w:highlight w:val="none"/>
              </w:rPr>
              <w:t>（施工组织设计）</w:t>
            </w:r>
          </w:p>
          <w:p>
            <w:pPr>
              <w:widowControl/>
              <w:shd w:val="clear" w:fill="auto"/>
              <w:spacing w:line="360" w:lineRule="auto"/>
              <w:jc w:val="left"/>
              <w:rPr>
                <w:rFonts w:hint="eastAsia" w:ascii="宋体" w:hAnsi="宋体" w:eastAsia="宋体" w:cs="宋体"/>
                <w:color w:val="auto"/>
                <w:kern w:val="0"/>
                <w:sz w:val="21"/>
                <w:szCs w:val="21"/>
                <w:highlight w:val="none"/>
              </w:rPr>
            </w:pPr>
          </w:p>
          <w:p>
            <w:pPr>
              <w:pStyle w:val="3"/>
              <w:shd w:val="clear" w:fill="auto"/>
              <w:rPr>
                <w:rFonts w:hint="eastAsia" w:ascii="宋体" w:hAnsi="宋体" w:eastAsia="宋体" w:cs="宋体"/>
                <w:highlight w:val="none"/>
              </w:rPr>
            </w:pPr>
          </w:p>
        </w:tc>
        <w:tc>
          <w:tcPr>
            <w:tcW w:w="1225"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4"/>
              <w:shd w:val="clear" w:fill="auto"/>
              <w:snapToGrid w:val="0"/>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rPr>
              <w:t>(1) 内容完整性和编制水平</w:t>
            </w:r>
          </w:p>
        </w:tc>
        <w:tc>
          <w:tcPr>
            <w:tcW w:w="1660" w:type="dxa"/>
            <w:vMerge w:val="restart"/>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4"/>
              <w:shd w:val="clear" w:fill="auto"/>
              <w:snapToGrid w:val="0"/>
              <w:spacing w:line="360" w:lineRule="auto"/>
              <w:contextualSpacing/>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sz w:val="21"/>
                <w:szCs w:val="21"/>
                <w:highlight w:val="none"/>
              </w:rPr>
              <w:t>0.5-2分</w:t>
            </w: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pStyle w:val="24"/>
              <w:shd w:val="clear" w:fill="auto"/>
              <w:snapToGrid w:val="0"/>
              <w:spacing w:line="360" w:lineRule="auto"/>
              <w:contextualSpacing/>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技术标的主要内容具有完整性，符合招标文件的要求。</w:t>
            </w:r>
          </w:p>
          <w:p>
            <w:pPr>
              <w:pStyle w:val="24"/>
              <w:shd w:val="clear" w:fill="auto"/>
              <w:snapToGrid w:val="0"/>
              <w:spacing w:line="360" w:lineRule="auto"/>
              <w:contextualSpacing/>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sz w:val="21"/>
                <w:szCs w:val="21"/>
                <w:highlight w:val="none"/>
              </w:rPr>
              <w:t>1分＜得分≤2分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0"/>
                <w:sz w:val="21"/>
                <w:szCs w:val="21"/>
                <w:highlight w:val="none"/>
              </w:rPr>
            </w:pPr>
          </w:p>
        </w:tc>
        <w:tc>
          <w:tcPr>
            <w:tcW w:w="1225"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4"/>
              <w:shd w:val="clear" w:fill="auto"/>
              <w:snapToGrid w:val="0"/>
              <w:spacing w:line="360" w:lineRule="auto"/>
              <w:contextualSpacing/>
              <w:jc w:val="both"/>
              <w:rPr>
                <w:rFonts w:hint="eastAsia" w:ascii="宋体" w:hAnsi="宋体" w:eastAsia="宋体" w:cs="宋体"/>
                <w:color w:val="auto"/>
                <w:kern w:val="0"/>
                <w:sz w:val="21"/>
                <w:szCs w:val="21"/>
                <w:highlight w:val="none"/>
              </w:rPr>
            </w:pPr>
          </w:p>
        </w:tc>
        <w:tc>
          <w:tcPr>
            <w:tcW w:w="1660" w:type="dxa"/>
            <w:vMerge w:val="continue"/>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24"/>
              <w:shd w:val="clear" w:fill="auto"/>
              <w:snapToGrid w:val="0"/>
              <w:spacing w:line="360" w:lineRule="auto"/>
              <w:contextualSpacing/>
              <w:jc w:val="center"/>
              <w:rPr>
                <w:rFonts w:hint="eastAsia" w:ascii="宋体" w:hAnsi="宋体" w:eastAsia="宋体" w:cs="宋体"/>
                <w:color w:val="auto"/>
                <w:kern w:val="0"/>
                <w:sz w:val="21"/>
                <w:szCs w:val="21"/>
                <w:highlight w:val="none"/>
              </w:rPr>
            </w:pP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pStyle w:val="24"/>
              <w:shd w:val="clear" w:fill="auto"/>
              <w:snapToGrid w:val="0"/>
              <w:spacing w:line="360" w:lineRule="auto"/>
              <w:contextualSpacing/>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技术标的主要内容基本完整，基本符合招标文件的要求。</w:t>
            </w:r>
          </w:p>
          <w:p>
            <w:pPr>
              <w:pStyle w:val="24"/>
              <w:shd w:val="clear" w:fill="auto"/>
              <w:snapToGrid w:val="0"/>
              <w:spacing w:line="360" w:lineRule="auto"/>
              <w:contextualSpacing/>
              <w:jc w:val="both"/>
              <w:rPr>
                <w:rFonts w:hint="eastAsia" w:ascii="宋体" w:hAnsi="宋体" w:eastAsia="宋体" w:cs="宋体"/>
                <w:color w:val="auto"/>
                <w:kern w:val="2"/>
                <w:sz w:val="21"/>
                <w:szCs w:val="21"/>
                <w:highlight w:val="none"/>
              </w:rPr>
            </w:pPr>
            <w:r>
              <w:rPr>
                <w:rFonts w:hint="eastAsia" w:ascii="宋体" w:hAnsi="宋体" w:eastAsia="宋体" w:cs="宋体"/>
                <w:sz w:val="21"/>
                <w:szCs w:val="21"/>
                <w:highlight w:val="none"/>
              </w:rPr>
              <w:t>0.5分≤得分≤1分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225"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46"/>
              <w:shd w:val="clear" w:fill="auto"/>
              <w:snapToGrid w:val="0"/>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(2)主要施工方案和技术措施</w:t>
            </w:r>
          </w:p>
        </w:tc>
        <w:tc>
          <w:tcPr>
            <w:tcW w:w="1660" w:type="dxa"/>
            <w:vMerge w:val="restart"/>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szCs w:val="21"/>
                <w:highlight w:val="none"/>
              </w:rPr>
              <w:t>1-5分</w:t>
            </w: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pacing w:line="360" w:lineRule="auto"/>
              <w:contextualSpacing/>
              <w:rPr>
                <w:rFonts w:hint="eastAsia" w:ascii="宋体" w:hAnsi="宋体" w:eastAsia="宋体" w:cs="宋体"/>
                <w:color w:val="auto"/>
                <w:kern w:val="0"/>
                <w:sz w:val="21"/>
                <w:szCs w:val="21"/>
                <w:highlight w:val="none"/>
                <w:shd w:val="clear" w:color="auto" w:fill="FFFFFF"/>
                <w:lang w:eastAsia="zh-CN"/>
              </w:rPr>
            </w:pPr>
            <w:r>
              <w:rPr>
                <w:rFonts w:hint="eastAsia" w:ascii="宋体" w:hAnsi="宋体" w:eastAsia="宋体" w:cs="宋体"/>
                <w:szCs w:val="21"/>
                <w:highlight w:val="none"/>
              </w:rPr>
              <w:t>施工方案（含工程特点、施工重点与难点及绿色施工）总体安排合理，运用先进、合理的施工工艺、施工机械；对施工难点有先进和合理的建议。2分＜得分≤5分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225"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46"/>
              <w:shd w:val="clear" w:fill="auto"/>
              <w:snapToGrid w:val="0"/>
              <w:spacing w:line="360" w:lineRule="auto"/>
              <w:contextualSpacing/>
              <w:jc w:val="center"/>
              <w:rPr>
                <w:rFonts w:hint="eastAsia" w:ascii="宋体" w:hAnsi="宋体" w:eastAsia="宋体" w:cs="宋体"/>
                <w:color w:val="auto"/>
                <w:kern w:val="0"/>
                <w:sz w:val="21"/>
                <w:szCs w:val="21"/>
                <w:highlight w:val="none"/>
              </w:rPr>
            </w:pPr>
          </w:p>
        </w:tc>
        <w:tc>
          <w:tcPr>
            <w:tcW w:w="1660" w:type="dxa"/>
            <w:vMerge w:val="continue"/>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0"/>
                <w:sz w:val="21"/>
                <w:szCs w:val="21"/>
                <w:highlight w:val="none"/>
              </w:rPr>
            </w:pP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pacing w:line="360" w:lineRule="auto"/>
              <w:contextualSpacing/>
              <w:rPr>
                <w:rFonts w:hint="eastAsia" w:ascii="宋体" w:hAnsi="宋体" w:eastAsia="宋体" w:cs="宋体"/>
                <w:color w:val="auto"/>
                <w:kern w:val="0"/>
                <w:sz w:val="21"/>
                <w:szCs w:val="21"/>
                <w:highlight w:val="none"/>
                <w:shd w:val="clear" w:color="auto" w:fill="FFFFFF"/>
                <w:lang w:eastAsia="zh-CN"/>
              </w:rPr>
            </w:pPr>
            <w:r>
              <w:rPr>
                <w:rFonts w:hint="eastAsia" w:ascii="宋体" w:hAnsi="宋体" w:eastAsia="宋体" w:cs="宋体"/>
                <w:szCs w:val="21"/>
                <w:highlight w:val="none"/>
              </w:rPr>
              <w:t>施工方案（含工程特点、施工重点与难点及绿色施工）总体安排合理，施工工艺、施工机械合理、可行；对施工难点有合理的建议。1分≤得分≤2分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225"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kern w:val="0"/>
                <w:szCs w:val="21"/>
                <w:highlight w:val="none"/>
              </w:rPr>
              <w:t>(3)质量管理体系与措施</w:t>
            </w:r>
          </w:p>
        </w:tc>
        <w:tc>
          <w:tcPr>
            <w:tcW w:w="1660" w:type="dxa"/>
            <w:vMerge w:val="restart"/>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szCs w:val="21"/>
                <w:highlight w:val="none"/>
              </w:rPr>
              <w:t>1-5分</w:t>
            </w: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pacing w:line="360" w:lineRule="auto"/>
              <w:contextualSpacing/>
              <w:rPr>
                <w:rFonts w:hint="eastAsia" w:ascii="宋体" w:hAnsi="宋体" w:eastAsia="宋体" w:cs="宋体"/>
                <w:color w:val="auto"/>
                <w:kern w:val="0"/>
                <w:sz w:val="21"/>
                <w:szCs w:val="21"/>
                <w:highlight w:val="none"/>
                <w:shd w:val="clear" w:color="auto" w:fill="FFFFFF"/>
                <w:lang w:eastAsia="zh-CN"/>
              </w:rPr>
            </w:pPr>
            <w:r>
              <w:rPr>
                <w:rFonts w:hint="eastAsia" w:ascii="宋体" w:hAnsi="宋体" w:eastAsia="宋体" w:cs="宋体"/>
                <w:szCs w:val="21"/>
                <w:highlight w:val="none"/>
              </w:rPr>
              <w:t>组织机构形式合理，有完善的指挥系统、质量监控系统、联络协调系统，对项目提出先进、可行、具体的保证措施。主体结构质量保证措施完整得力、经济、安全、切实可行。按照工程建设强制性标准和其他技术标准施工，不得偷工减料。2分＜得分≤5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225"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hd w:val="clear" w:fill="auto"/>
              <w:snapToGrid w:val="0"/>
              <w:spacing w:line="360" w:lineRule="auto"/>
              <w:contextualSpacing/>
              <w:rPr>
                <w:rFonts w:hint="eastAsia" w:ascii="宋体" w:hAnsi="宋体" w:eastAsia="宋体" w:cs="宋体"/>
                <w:color w:val="auto"/>
                <w:kern w:val="0"/>
                <w:sz w:val="21"/>
                <w:szCs w:val="21"/>
                <w:highlight w:val="none"/>
              </w:rPr>
            </w:pPr>
          </w:p>
        </w:tc>
        <w:tc>
          <w:tcPr>
            <w:tcW w:w="1660" w:type="dxa"/>
            <w:vMerge w:val="continue"/>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hd w:val="clear" w:fill="auto"/>
              <w:snapToGrid w:val="0"/>
              <w:spacing w:line="360" w:lineRule="auto"/>
              <w:contextualSpacing/>
              <w:rPr>
                <w:rFonts w:hint="eastAsia" w:ascii="宋体" w:hAnsi="宋体" w:eastAsia="宋体" w:cs="宋体"/>
                <w:color w:val="auto"/>
                <w:kern w:val="0"/>
                <w:sz w:val="21"/>
                <w:szCs w:val="21"/>
                <w:highlight w:val="none"/>
              </w:rPr>
            </w:pP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pacing w:line="360" w:lineRule="auto"/>
              <w:contextualSpacing/>
              <w:rPr>
                <w:rFonts w:hint="eastAsia" w:ascii="宋体" w:hAnsi="宋体" w:eastAsia="宋体" w:cs="宋体"/>
                <w:color w:val="auto"/>
                <w:kern w:val="2"/>
                <w:sz w:val="21"/>
                <w:szCs w:val="21"/>
                <w:highlight w:val="none"/>
                <w:shd w:val="clear" w:color="auto" w:fill="FFFFFF"/>
                <w:lang w:eastAsia="zh-CN"/>
              </w:rPr>
            </w:pPr>
            <w:r>
              <w:rPr>
                <w:rFonts w:hint="eastAsia" w:ascii="宋体" w:hAnsi="宋体" w:eastAsia="宋体" w:cs="宋体"/>
                <w:szCs w:val="21"/>
                <w:highlight w:val="none"/>
              </w:rPr>
              <w:t>组织机构形式基本合理，指挥系统、质量监控系统、联络协调系统，具体措施可行。主体结构质量保证措施经济、安全、基本可行。符合工程建设强制性标准，不得偷工减料。1分≤得分≤2分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225"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kern w:val="0"/>
                <w:szCs w:val="21"/>
                <w:highlight w:val="none"/>
              </w:rPr>
              <w:t>(4)安全管理体系与措施</w:t>
            </w:r>
          </w:p>
        </w:tc>
        <w:tc>
          <w:tcPr>
            <w:tcW w:w="1660" w:type="dxa"/>
            <w:vMerge w:val="restart"/>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2"/>
                <w:sz w:val="21"/>
                <w:szCs w:val="21"/>
                <w:highlight w:val="none"/>
              </w:rPr>
            </w:pPr>
            <w:r>
              <w:rPr>
                <w:rFonts w:hint="eastAsia" w:ascii="宋体" w:hAnsi="宋体" w:eastAsia="宋体" w:cs="宋体"/>
                <w:szCs w:val="21"/>
                <w:highlight w:val="none"/>
              </w:rPr>
              <w:t>1-5分</w:t>
            </w: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pPr>
              <w:shd w:val="clear" w:fill="auto"/>
              <w:spacing w:line="360" w:lineRule="auto"/>
              <w:contextualSpacing/>
              <w:rPr>
                <w:rFonts w:hint="eastAsia" w:ascii="宋体" w:hAnsi="宋体" w:eastAsia="宋体" w:cs="宋体"/>
                <w:color w:val="auto"/>
                <w:kern w:val="2"/>
                <w:sz w:val="21"/>
                <w:szCs w:val="21"/>
                <w:highlight w:val="none"/>
                <w:shd w:val="clear" w:color="auto" w:fill="FFFFFF"/>
              </w:rPr>
            </w:pPr>
            <w:r>
              <w:rPr>
                <w:rFonts w:hint="eastAsia" w:ascii="宋体" w:hAnsi="宋体" w:eastAsia="宋体" w:cs="宋体"/>
                <w:szCs w:val="21"/>
                <w:highlight w:val="none"/>
              </w:rPr>
              <w:t>2分＜得分≤5分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110"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225"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0"/>
                <w:sz w:val="21"/>
                <w:szCs w:val="21"/>
                <w:highlight w:val="none"/>
              </w:rPr>
            </w:pPr>
          </w:p>
        </w:tc>
        <w:tc>
          <w:tcPr>
            <w:tcW w:w="1660" w:type="dxa"/>
            <w:vMerge w:val="continue"/>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0"/>
                <w:sz w:val="21"/>
                <w:szCs w:val="21"/>
                <w:highlight w:val="none"/>
              </w:rPr>
            </w:pP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pacing w:line="360" w:lineRule="auto"/>
              <w:contextualSpacing/>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szCs w:val="21"/>
                <w:highlight w:val="none"/>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1分≤得分≤2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225"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kern w:val="0"/>
                <w:szCs w:val="21"/>
                <w:highlight w:val="none"/>
              </w:rPr>
              <w:t>(5)</w:t>
            </w:r>
            <w:r>
              <w:rPr>
                <w:rFonts w:hint="eastAsia" w:ascii="宋体" w:hAnsi="宋体" w:eastAsia="宋体" w:cs="宋体"/>
                <w:szCs w:val="21"/>
                <w:highlight w:val="none"/>
              </w:rPr>
              <w:t>文明施工、环境保护管理体系及施工现场扬尘治理措施</w:t>
            </w:r>
          </w:p>
        </w:tc>
        <w:tc>
          <w:tcPr>
            <w:tcW w:w="1660" w:type="dxa"/>
            <w:vMerge w:val="restart"/>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szCs w:val="21"/>
                <w:highlight w:val="none"/>
              </w:rPr>
              <w:t>1-5分</w:t>
            </w: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pacing w:line="360" w:lineRule="auto"/>
              <w:contextualSpacing/>
              <w:rPr>
                <w:rFonts w:hint="eastAsia" w:ascii="宋体" w:hAnsi="宋体" w:eastAsia="宋体" w:cs="宋体"/>
                <w:color w:val="auto"/>
                <w:kern w:val="0"/>
                <w:sz w:val="21"/>
                <w:szCs w:val="21"/>
                <w:highlight w:val="none"/>
                <w:shd w:val="clear" w:color="auto" w:fill="FFFFFF"/>
                <w:lang w:eastAsia="zh-CN"/>
              </w:rPr>
            </w:pPr>
            <w:r>
              <w:rPr>
                <w:rFonts w:hint="eastAsia" w:ascii="宋体" w:hAnsi="宋体" w:eastAsia="宋体" w:cs="宋体"/>
                <w:szCs w:val="21"/>
                <w:highlight w:val="none"/>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2分＜得分≤5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225"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hd w:val="clear" w:fill="auto"/>
              <w:snapToGrid w:val="0"/>
              <w:spacing w:line="360" w:lineRule="auto"/>
              <w:contextualSpacing/>
              <w:rPr>
                <w:rFonts w:hint="eastAsia" w:ascii="宋体" w:hAnsi="宋体" w:eastAsia="宋体" w:cs="宋体"/>
                <w:color w:val="auto"/>
                <w:kern w:val="0"/>
                <w:sz w:val="21"/>
                <w:szCs w:val="21"/>
                <w:highlight w:val="none"/>
              </w:rPr>
            </w:pPr>
          </w:p>
        </w:tc>
        <w:tc>
          <w:tcPr>
            <w:tcW w:w="1660" w:type="dxa"/>
            <w:vMerge w:val="continue"/>
            <w:tcBorders>
              <w:top w:val="single" w:color="000000" w:sz="4" w:space="0"/>
              <w:left w:val="single" w:color="auto"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napToGrid w:val="0"/>
              <w:spacing w:line="360" w:lineRule="auto"/>
              <w:contextualSpacing/>
              <w:rPr>
                <w:rFonts w:hint="eastAsia" w:ascii="宋体" w:hAnsi="宋体" w:eastAsia="宋体" w:cs="宋体"/>
                <w:color w:val="auto"/>
                <w:kern w:val="2"/>
                <w:sz w:val="21"/>
                <w:szCs w:val="21"/>
                <w:highlight w:val="none"/>
              </w:rPr>
            </w:pP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pacing w:line="360" w:lineRule="auto"/>
              <w:contextualSpacing/>
              <w:rPr>
                <w:rFonts w:hint="eastAsia" w:ascii="宋体" w:hAnsi="宋体" w:eastAsia="宋体" w:cs="宋体"/>
                <w:color w:val="auto"/>
                <w:kern w:val="0"/>
                <w:sz w:val="21"/>
                <w:szCs w:val="21"/>
                <w:highlight w:val="none"/>
                <w:shd w:val="clear" w:color="auto" w:fill="FFFFFF"/>
                <w:lang w:eastAsia="zh-CN"/>
              </w:rPr>
            </w:pPr>
            <w:r>
              <w:rPr>
                <w:rFonts w:hint="eastAsia" w:ascii="宋体" w:hAnsi="宋体" w:eastAsia="宋体" w:cs="宋体"/>
                <w:szCs w:val="21"/>
                <w:highlight w:val="none"/>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1分≤得分≤2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225"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kern w:val="0"/>
                <w:szCs w:val="21"/>
                <w:highlight w:val="none"/>
              </w:rPr>
              <w:t>(6)</w:t>
            </w:r>
            <w:r>
              <w:rPr>
                <w:rFonts w:hint="eastAsia" w:ascii="宋体" w:hAnsi="宋体" w:eastAsia="宋体" w:cs="宋体"/>
                <w:szCs w:val="21"/>
                <w:highlight w:val="none"/>
              </w:rPr>
              <w:t>工期保证措施</w:t>
            </w:r>
          </w:p>
        </w:tc>
        <w:tc>
          <w:tcPr>
            <w:tcW w:w="1660" w:type="dxa"/>
            <w:vMerge w:val="restart"/>
            <w:tcBorders>
              <w:top w:val="single" w:color="000000" w:sz="4" w:space="0"/>
              <w:left w:val="single" w:color="auto"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2"/>
                <w:sz w:val="21"/>
                <w:szCs w:val="21"/>
                <w:highlight w:val="none"/>
              </w:rPr>
            </w:pPr>
            <w:r>
              <w:rPr>
                <w:rFonts w:hint="eastAsia" w:ascii="宋体" w:hAnsi="宋体" w:eastAsia="宋体" w:cs="宋体"/>
                <w:szCs w:val="21"/>
                <w:highlight w:val="none"/>
              </w:rPr>
              <w:t>1-4分</w:t>
            </w: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pacing w:line="360" w:lineRule="auto"/>
              <w:contextualSpacing/>
              <w:rPr>
                <w:rFonts w:hint="eastAsia" w:ascii="宋体" w:hAnsi="宋体" w:eastAsia="宋体" w:cs="宋体"/>
                <w:color w:val="auto"/>
                <w:kern w:val="0"/>
                <w:sz w:val="21"/>
                <w:szCs w:val="21"/>
                <w:highlight w:val="none"/>
                <w:shd w:val="clear" w:color="auto" w:fill="FFFFFF"/>
                <w:lang w:eastAsia="zh-CN"/>
              </w:rPr>
            </w:pPr>
            <w:r>
              <w:rPr>
                <w:rFonts w:hint="eastAsia" w:ascii="宋体" w:hAnsi="宋体" w:eastAsia="宋体" w:cs="宋体"/>
                <w:szCs w:val="21"/>
                <w:highlight w:val="none"/>
              </w:rPr>
              <w:t>工期承诺满足招标文件要求，工期保证措施合理且有针对性，有具体的违约责任承诺。2分＜得分≤4分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225"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0"/>
                <w:sz w:val="21"/>
                <w:szCs w:val="21"/>
                <w:highlight w:val="none"/>
              </w:rPr>
            </w:pPr>
          </w:p>
        </w:tc>
        <w:tc>
          <w:tcPr>
            <w:tcW w:w="1660" w:type="dxa"/>
            <w:vMerge w:val="continue"/>
            <w:tcBorders>
              <w:top w:val="single" w:color="000000" w:sz="4" w:space="0"/>
              <w:left w:val="single" w:color="auto"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2"/>
                <w:sz w:val="21"/>
                <w:szCs w:val="21"/>
                <w:highlight w:val="none"/>
              </w:rPr>
            </w:pP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pacing w:line="360" w:lineRule="auto"/>
              <w:contextualSpacing/>
              <w:rPr>
                <w:rFonts w:hint="eastAsia" w:ascii="宋体" w:hAnsi="宋体" w:eastAsia="宋体" w:cs="宋体"/>
                <w:color w:val="auto"/>
                <w:kern w:val="2"/>
                <w:sz w:val="21"/>
                <w:szCs w:val="21"/>
                <w:highlight w:val="none"/>
                <w:shd w:val="clear" w:color="auto" w:fill="FFFFFF"/>
                <w:lang w:eastAsia="zh-CN"/>
              </w:rPr>
            </w:pPr>
            <w:r>
              <w:rPr>
                <w:rFonts w:hint="eastAsia" w:ascii="宋体" w:hAnsi="宋体" w:eastAsia="宋体" w:cs="宋体"/>
                <w:szCs w:val="21"/>
                <w:highlight w:val="none"/>
              </w:rPr>
              <w:t>工期承诺满足招标文件要求，工期保证措施基本合理，有具体的违约责任承诺。1分≤得分≤2分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225"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4"/>
              <w:shd w:val="clear" w:fill="auto"/>
              <w:snapToGrid w:val="0"/>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rPr>
              <w:t>(7)拟投入资源配备计划</w:t>
            </w:r>
          </w:p>
        </w:tc>
        <w:tc>
          <w:tcPr>
            <w:tcW w:w="1660" w:type="dxa"/>
            <w:vMerge w:val="restart"/>
            <w:tcBorders>
              <w:top w:val="single" w:color="000000" w:sz="4" w:space="0"/>
              <w:left w:val="single" w:color="auto"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2"/>
                <w:sz w:val="21"/>
                <w:szCs w:val="21"/>
                <w:highlight w:val="none"/>
              </w:rPr>
            </w:pPr>
            <w:r>
              <w:rPr>
                <w:rFonts w:hint="eastAsia" w:ascii="宋体" w:hAnsi="宋体" w:eastAsia="宋体" w:cs="宋体"/>
                <w:szCs w:val="21"/>
                <w:highlight w:val="none"/>
              </w:rPr>
              <w:t>1-4分</w:t>
            </w: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1.机械：投入计划与进度计划呼应，采用先进机械设备且配置合理、先进，满足安全技术规范和施工进度需要；</w:t>
            </w:r>
          </w:p>
          <w:p>
            <w:pPr>
              <w:shd w:val="clear" w:fill="auto"/>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2.劳动力：投入计划与进度计划呼应，较好满足施工需要，调配投入计划合理、准确；</w:t>
            </w:r>
          </w:p>
          <w:p>
            <w:pPr>
              <w:shd w:val="clear" w:fill="auto"/>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3.主要物资计划：主要物资投入计划与进度计划呼应，较好满足施工需要，调配投入计划合理、准确。2分＜得分≤4分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225"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4"/>
              <w:shd w:val="clear" w:fill="auto"/>
              <w:snapToGrid w:val="0"/>
              <w:spacing w:line="360" w:lineRule="auto"/>
              <w:contextualSpacing/>
              <w:jc w:val="center"/>
              <w:rPr>
                <w:rFonts w:hint="eastAsia" w:ascii="宋体" w:hAnsi="宋体" w:eastAsia="宋体" w:cs="宋体"/>
                <w:color w:val="auto"/>
                <w:kern w:val="0"/>
                <w:sz w:val="21"/>
                <w:szCs w:val="21"/>
                <w:highlight w:val="none"/>
              </w:rPr>
            </w:pPr>
          </w:p>
        </w:tc>
        <w:tc>
          <w:tcPr>
            <w:tcW w:w="1660" w:type="dxa"/>
            <w:vMerge w:val="continue"/>
            <w:tcBorders>
              <w:top w:val="single" w:color="000000" w:sz="4" w:space="0"/>
              <w:left w:val="single" w:color="auto"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2"/>
                <w:sz w:val="21"/>
                <w:szCs w:val="21"/>
                <w:highlight w:val="none"/>
              </w:rPr>
            </w:pP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1.机械：投入计划与进度计划呼应，机械设备配置基本合理，满足安全技术规范和施工进度需要；</w:t>
            </w:r>
          </w:p>
          <w:p>
            <w:pPr>
              <w:shd w:val="clear" w:fill="auto"/>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2.劳动力：投入计划与进度计划呼应，基本满足施工需要，调配投入计划基本合理；</w:t>
            </w:r>
          </w:p>
          <w:p>
            <w:pPr>
              <w:shd w:val="clear" w:fill="auto"/>
              <w:spacing w:line="360" w:lineRule="auto"/>
              <w:contextualSpacing/>
              <w:rPr>
                <w:rFonts w:hint="eastAsia" w:ascii="宋体" w:hAnsi="宋体" w:eastAsia="宋体" w:cs="宋体"/>
                <w:szCs w:val="21"/>
                <w:highlight w:val="none"/>
              </w:rPr>
            </w:pPr>
            <w:r>
              <w:rPr>
                <w:rFonts w:hint="eastAsia" w:ascii="宋体" w:hAnsi="宋体" w:eastAsia="宋体" w:cs="宋体"/>
                <w:spacing w:val="-4"/>
                <w:szCs w:val="21"/>
                <w:highlight w:val="none"/>
              </w:rPr>
              <w:t>3.主要物资计划：主要物资投入计划与进度计划呼应，基本满足施工需要，调配投入计划基本合理。</w:t>
            </w:r>
            <w:r>
              <w:rPr>
                <w:rFonts w:hint="eastAsia" w:ascii="宋体" w:hAnsi="宋体" w:eastAsia="宋体" w:cs="宋体"/>
                <w:szCs w:val="21"/>
                <w:highlight w:val="none"/>
              </w:rPr>
              <w:t>1分≤得分≤2分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225"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kern w:val="0"/>
                <w:szCs w:val="21"/>
                <w:highlight w:val="none"/>
              </w:rPr>
              <w:t>(8)</w:t>
            </w:r>
            <w:r>
              <w:rPr>
                <w:rFonts w:hint="eastAsia" w:ascii="宋体" w:hAnsi="宋体" w:eastAsia="宋体" w:cs="宋体"/>
                <w:szCs w:val="21"/>
                <w:highlight w:val="none"/>
              </w:rPr>
              <w:t>施工进度表与网络计划图</w:t>
            </w:r>
          </w:p>
        </w:tc>
        <w:tc>
          <w:tcPr>
            <w:tcW w:w="1660" w:type="dxa"/>
            <w:vMerge w:val="restart"/>
            <w:tcBorders>
              <w:top w:val="single" w:color="000000" w:sz="4" w:space="0"/>
              <w:left w:val="single" w:color="auto"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2"/>
                <w:sz w:val="21"/>
                <w:szCs w:val="21"/>
                <w:highlight w:val="none"/>
              </w:rPr>
            </w:pPr>
            <w:r>
              <w:rPr>
                <w:rFonts w:hint="eastAsia" w:ascii="宋体" w:hAnsi="宋体" w:eastAsia="宋体" w:cs="宋体"/>
                <w:szCs w:val="21"/>
                <w:highlight w:val="none"/>
              </w:rPr>
              <w:t>0.5-2分</w:t>
            </w: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关键线路清晰、准确、完整、计划编制合理、可行、满足招标文件对工期的要求。1分＜得分≤2分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225"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0"/>
                <w:sz w:val="21"/>
                <w:szCs w:val="21"/>
                <w:highlight w:val="none"/>
              </w:rPr>
            </w:pPr>
          </w:p>
        </w:tc>
        <w:tc>
          <w:tcPr>
            <w:tcW w:w="1660" w:type="dxa"/>
            <w:vMerge w:val="continue"/>
            <w:tcBorders>
              <w:top w:val="single" w:color="000000" w:sz="4" w:space="0"/>
              <w:left w:val="single" w:color="auto"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napToGrid w:val="0"/>
              <w:spacing w:line="360" w:lineRule="auto"/>
              <w:contextualSpacing/>
              <w:rPr>
                <w:rFonts w:hint="eastAsia" w:ascii="宋体" w:hAnsi="宋体" w:eastAsia="宋体" w:cs="宋体"/>
                <w:color w:val="auto"/>
                <w:kern w:val="2"/>
                <w:sz w:val="21"/>
                <w:szCs w:val="21"/>
                <w:highlight w:val="none"/>
              </w:rPr>
            </w:pP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关键线路基本准确，计划编制基本可行。0.5分≤得分≤1分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225"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4"/>
              <w:shd w:val="clear" w:fill="auto"/>
              <w:snapToGrid w:val="0"/>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rPr>
              <w:t>(9)施工总平面图布置</w:t>
            </w:r>
          </w:p>
        </w:tc>
        <w:tc>
          <w:tcPr>
            <w:tcW w:w="1660" w:type="dxa"/>
            <w:vMerge w:val="restart"/>
            <w:tcBorders>
              <w:top w:val="single" w:color="000000" w:sz="4" w:space="0"/>
              <w:left w:val="single" w:color="auto"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pStyle w:val="24"/>
              <w:shd w:val="clear" w:fill="auto"/>
              <w:snapToGrid w:val="0"/>
              <w:spacing w:line="360" w:lineRule="auto"/>
              <w:contextualSpacing/>
              <w:jc w:val="center"/>
              <w:rPr>
                <w:rFonts w:hint="eastAsia" w:ascii="宋体" w:hAnsi="宋体" w:eastAsia="宋体" w:cs="宋体"/>
                <w:color w:val="auto"/>
                <w:kern w:val="2"/>
                <w:sz w:val="21"/>
                <w:szCs w:val="21"/>
                <w:highlight w:val="none"/>
              </w:rPr>
            </w:pPr>
            <w:r>
              <w:rPr>
                <w:rFonts w:hint="eastAsia" w:ascii="宋体" w:hAnsi="宋体" w:eastAsia="宋体" w:cs="宋体"/>
                <w:sz w:val="21"/>
                <w:szCs w:val="21"/>
                <w:highlight w:val="none"/>
              </w:rPr>
              <w:t>0.5-2分</w:t>
            </w: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总体布置有针对性、合理、能较好满足施工需要，符合安全、文明施工要求；材料堆放有序。1分＜得分≤2分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225"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4"/>
              <w:shd w:val="clear" w:fill="auto"/>
              <w:snapToGrid w:val="0"/>
              <w:spacing w:line="360" w:lineRule="auto"/>
              <w:contextualSpacing/>
              <w:jc w:val="center"/>
              <w:rPr>
                <w:rFonts w:hint="eastAsia" w:ascii="宋体" w:hAnsi="宋体" w:eastAsia="宋体" w:cs="宋体"/>
                <w:color w:val="auto"/>
                <w:kern w:val="0"/>
                <w:sz w:val="21"/>
                <w:szCs w:val="21"/>
                <w:highlight w:val="none"/>
              </w:rPr>
            </w:pPr>
          </w:p>
        </w:tc>
        <w:tc>
          <w:tcPr>
            <w:tcW w:w="1660" w:type="dxa"/>
            <w:vMerge w:val="continue"/>
            <w:tcBorders>
              <w:top w:val="single" w:color="000000" w:sz="4" w:space="0"/>
              <w:left w:val="single" w:color="auto"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pStyle w:val="24"/>
              <w:shd w:val="clear" w:fill="auto"/>
              <w:snapToGrid w:val="0"/>
              <w:spacing w:line="360" w:lineRule="auto"/>
              <w:contextualSpacing/>
              <w:jc w:val="center"/>
              <w:rPr>
                <w:rFonts w:hint="eastAsia" w:ascii="宋体" w:hAnsi="宋体" w:eastAsia="宋体" w:cs="宋体"/>
                <w:color w:val="auto"/>
                <w:kern w:val="2"/>
                <w:sz w:val="21"/>
                <w:szCs w:val="21"/>
                <w:highlight w:val="none"/>
              </w:rPr>
            </w:pP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总体布置基本合理、基本满足施工需要。0.5分≤得分≤1分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225"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hd w:val="clear" w:fill="auto"/>
              <w:tabs>
                <w:tab w:val="left" w:pos="4356"/>
              </w:tabs>
              <w:snapToGrid w:val="0"/>
              <w:spacing w:line="360" w:lineRule="auto"/>
              <w:contextualSpacing/>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kern w:val="0"/>
                <w:szCs w:val="21"/>
                <w:highlight w:val="none"/>
              </w:rPr>
              <w:t>(10)</w:t>
            </w:r>
            <w:r>
              <w:rPr>
                <w:rFonts w:hint="eastAsia" w:ascii="宋体" w:hAnsi="宋体" w:eastAsia="宋体" w:cs="宋体"/>
                <w:szCs w:val="21"/>
                <w:highlight w:val="none"/>
              </w:rPr>
              <w:t>技术创新的应用实施措施</w:t>
            </w:r>
          </w:p>
        </w:tc>
        <w:tc>
          <w:tcPr>
            <w:tcW w:w="1660" w:type="dxa"/>
            <w:vMerge w:val="restart"/>
            <w:tcBorders>
              <w:top w:val="single" w:color="000000" w:sz="4" w:space="0"/>
              <w:left w:val="single" w:color="auto"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2"/>
                <w:sz w:val="21"/>
                <w:szCs w:val="21"/>
                <w:highlight w:val="none"/>
              </w:rPr>
            </w:pPr>
            <w:r>
              <w:rPr>
                <w:rFonts w:hint="eastAsia" w:ascii="宋体" w:hAnsi="宋体" w:eastAsia="宋体" w:cs="宋体"/>
                <w:szCs w:val="21"/>
                <w:highlight w:val="none"/>
              </w:rPr>
              <w:t>0.5-2分</w:t>
            </w: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numPr>
                <w:ilvl w:val="0"/>
                <w:numId w:val="2"/>
              </w:numPr>
              <w:shd w:val="clear" w:fill="auto"/>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节能减排、（2）绿色施工、（3）工艺创新、（4）技术创新的应用实施措施符合工程情况，具有针对性、可行性、经济适用性。1分＜得分≤2分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225"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hd w:val="clear" w:fill="auto"/>
              <w:tabs>
                <w:tab w:val="left" w:pos="4356"/>
              </w:tabs>
              <w:snapToGrid w:val="0"/>
              <w:spacing w:line="360" w:lineRule="auto"/>
              <w:contextualSpacing/>
              <w:textAlignment w:val="baseline"/>
              <w:rPr>
                <w:rFonts w:hint="eastAsia" w:ascii="宋体" w:hAnsi="宋体" w:eastAsia="宋体" w:cs="宋体"/>
                <w:color w:val="auto"/>
                <w:kern w:val="0"/>
                <w:sz w:val="21"/>
                <w:szCs w:val="21"/>
                <w:highlight w:val="none"/>
              </w:rPr>
            </w:pPr>
          </w:p>
        </w:tc>
        <w:tc>
          <w:tcPr>
            <w:tcW w:w="1660" w:type="dxa"/>
            <w:vMerge w:val="continue"/>
            <w:tcBorders>
              <w:top w:val="single" w:color="000000" w:sz="4" w:space="0"/>
              <w:left w:val="single" w:color="auto"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napToGrid w:val="0"/>
              <w:spacing w:line="360" w:lineRule="auto"/>
              <w:contextualSpacing/>
              <w:rPr>
                <w:rFonts w:hint="eastAsia" w:ascii="宋体" w:hAnsi="宋体" w:eastAsia="宋体" w:cs="宋体"/>
                <w:color w:val="auto"/>
                <w:kern w:val="2"/>
                <w:sz w:val="21"/>
                <w:szCs w:val="21"/>
                <w:highlight w:val="none"/>
              </w:rPr>
            </w:pP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numPr>
                <w:ilvl w:val="0"/>
                <w:numId w:val="3"/>
              </w:numPr>
              <w:shd w:val="clear" w:fill="auto"/>
              <w:spacing w:line="360" w:lineRule="auto"/>
              <w:contextualSpacing/>
              <w:rPr>
                <w:rFonts w:hint="eastAsia" w:ascii="宋体" w:hAnsi="宋体" w:eastAsia="宋体" w:cs="宋体"/>
                <w:szCs w:val="21"/>
                <w:highlight w:val="none"/>
              </w:rPr>
            </w:pPr>
            <w:r>
              <w:rPr>
                <w:rFonts w:hint="eastAsia" w:ascii="宋体" w:hAnsi="宋体" w:eastAsia="宋体" w:cs="宋体"/>
                <w:spacing w:val="-8"/>
                <w:szCs w:val="21"/>
                <w:highlight w:val="none"/>
              </w:rPr>
              <w:t>节能减排、（2）绿色施工、（3）工艺创新、（4）技术创新的应用实施措施基本符合工程情况，具有针</w:t>
            </w:r>
            <w:r>
              <w:rPr>
                <w:rFonts w:hint="eastAsia" w:ascii="宋体" w:hAnsi="宋体" w:eastAsia="宋体" w:cs="宋体"/>
                <w:szCs w:val="21"/>
                <w:highlight w:val="none"/>
              </w:rPr>
              <w:t>对性。</w:t>
            </w:r>
          </w:p>
          <w:p>
            <w:pPr>
              <w:shd w:val="clear" w:fill="auto"/>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0.5分≤得分≤1分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225"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8"/>
              <w:shd w:val="clear" w:fill="auto"/>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highlight w:val="none"/>
              </w:rPr>
              <w:t>（11）</w:t>
            </w:r>
            <w:r>
              <w:rPr>
                <w:rFonts w:hint="eastAsia" w:ascii="宋体" w:hAnsi="宋体" w:eastAsia="宋体" w:cs="宋体"/>
                <w:sz w:val="21"/>
                <w:szCs w:val="21"/>
                <w:highlight w:val="none"/>
              </w:rPr>
              <w:t>施工现场实施信息化监控和数据处理</w:t>
            </w:r>
          </w:p>
        </w:tc>
        <w:tc>
          <w:tcPr>
            <w:tcW w:w="1660" w:type="dxa"/>
            <w:vMerge w:val="restart"/>
            <w:tcBorders>
              <w:top w:val="single" w:color="000000" w:sz="4" w:space="0"/>
              <w:left w:val="single" w:color="auto"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2"/>
                <w:sz w:val="21"/>
                <w:szCs w:val="21"/>
                <w:highlight w:val="none"/>
              </w:rPr>
            </w:pPr>
            <w:r>
              <w:rPr>
                <w:rFonts w:hint="eastAsia" w:ascii="宋体" w:hAnsi="宋体" w:eastAsia="宋体" w:cs="宋体"/>
                <w:szCs w:val="21"/>
                <w:highlight w:val="none"/>
              </w:rPr>
              <w:t>0.5-2分</w:t>
            </w: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施工现场实施信息化监控和数据处理系统布置合理，满足需要。1分≤得分≤2分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225"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8"/>
              <w:shd w:val="clear" w:fill="auto"/>
              <w:spacing w:line="360" w:lineRule="auto"/>
              <w:contextualSpacing/>
              <w:jc w:val="center"/>
              <w:rPr>
                <w:rFonts w:hint="eastAsia" w:ascii="宋体" w:hAnsi="宋体" w:eastAsia="宋体" w:cs="宋体"/>
                <w:color w:val="auto"/>
                <w:kern w:val="0"/>
                <w:sz w:val="21"/>
                <w:szCs w:val="21"/>
                <w:highlight w:val="none"/>
              </w:rPr>
            </w:pPr>
          </w:p>
        </w:tc>
        <w:tc>
          <w:tcPr>
            <w:tcW w:w="1660" w:type="dxa"/>
            <w:vMerge w:val="continue"/>
            <w:tcBorders>
              <w:top w:val="single" w:color="000000" w:sz="4" w:space="0"/>
              <w:left w:val="single" w:color="auto"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2"/>
                <w:sz w:val="21"/>
                <w:szCs w:val="21"/>
                <w:highlight w:val="none"/>
              </w:rPr>
            </w:pP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施工现场实施信息化监控和数据处理系统布置基本符合需要。0.5分＜得分≤1分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pStyle w:val="3"/>
              <w:shd w:val="clear" w:fill="auto"/>
              <w:rPr>
                <w:rFonts w:hint="eastAsia" w:ascii="宋体" w:hAnsi="宋体" w:eastAsia="宋体" w:cs="宋体"/>
                <w:highlight w:val="none"/>
              </w:rPr>
            </w:pPr>
          </w:p>
        </w:tc>
        <w:tc>
          <w:tcPr>
            <w:tcW w:w="1225"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8"/>
              <w:shd w:val="clear" w:fill="auto"/>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rPr>
              <w:t>（12）风险管理措施</w:t>
            </w:r>
          </w:p>
        </w:tc>
        <w:tc>
          <w:tcPr>
            <w:tcW w:w="1660" w:type="dxa"/>
            <w:vMerge w:val="restart"/>
            <w:tcBorders>
              <w:top w:val="single" w:color="000000" w:sz="4" w:space="0"/>
              <w:left w:val="single" w:color="auto"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napToGrid w:val="0"/>
              <w:spacing w:line="360" w:lineRule="auto"/>
              <w:contextualSpacing/>
              <w:jc w:val="center"/>
              <w:rPr>
                <w:rFonts w:hint="eastAsia" w:ascii="宋体" w:hAnsi="宋体" w:eastAsia="宋体" w:cs="宋体"/>
                <w:color w:val="auto"/>
                <w:kern w:val="2"/>
                <w:sz w:val="21"/>
                <w:szCs w:val="21"/>
                <w:highlight w:val="none"/>
              </w:rPr>
            </w:pPr>
            <w:r>
              <w:rPr>
                <w:rFonts w:hint="eastAsia" w:ascii="宋体" w:hAnsi="宋体" w:eastAsia="宋体" w:cs="宋体"/>
                <w:szCs w:val="21"/>
                <w:highlight w:val="none"/>
              </w:rPr>
              <w:t>0.5-2分</w:t>
            </w: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风险防控管理措施齐全，风险预控符合规范要求，风险控制要点定位准确，各阶段风险控制及应急措施得力。</w:t>
            </w:r>
          </w:p>
          <w:p>
            <w:pPr>
              <w:shd w:val="clear" w:fill="auto"/>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1分＜得分≤2分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2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1225"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8"/>
              <w:shd w:val="clear" w:fill="auto"/>
              <w:spacing w:line="360" w:lineRule="auto"/>
              <w:contextualSpacing/>
              <w:jc w:val="both"/>
              <w:rPr>
                <w:rFonts w:hint="eastAsia" w:ascii="宋体" w:hAnsi="宋体" w:eastAsia="宋体" w:cs="宋体"/>
                <w:color w:val="auto"/>
                <w:kern w:val="0"/>
                <w:sz w:val="21"/>
                <w:szCs w:val="21"/>
                <w:highlight w:val="none"/>
              </w:rPr>
            </w:pPr>
          </w:p>
        </w:tc>
        <w:tc>
          <w:tcPr>
            <w:tcW w:w="1660" w:type="dxa"/>
            <w:vMerge w:val="continue"/>
            <w:tcBorders>
              <w:top w:val="single" w:color="000000" w:sz="4" w:space="0"/>
              <w:left w:val="single" w:color="auto"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napToGrid w:val="0"/>
              <w:spacing w:line="360" w:lineRule="auto"/>
              <w:contextualSpacing/>
              <w:rPr>
                <w:rFonts w:hint="eastAsia" w:ascii="宋体" w:hAnsi="宋体" w:eastAsia="宋体" w:cs="宋体"/>
                <w:color w:val="auto"/>
                <w:kern w:val="2"/>
                <w:sz w:val="21"/>
                <w:szCs w:val="21"/>
                <w:highlight w:val="none"/>
              </w:rPr>
            </w:pP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clear" w:fill="auto"/>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风险防控管理措施基本齐全，风险预控符合规范要求，风险控制要点定位基本准确，有各阶段风险控制及应急措施。0.5分≤得分≤1分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282"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fill="auto"/>
              <w:spacing w:line="360" w:lineRule="auto"/>
              <w:jc w:val="left"/>
              <w:rPr>
                <w:rFonts w:hint="eastAsia" w:ascii="宋体" w:hAnsi="宋体" w:eastAsia="宋体" w:cs="宋体"/>
                <w:color w:val="auto"/>
                <w:kern w:val="0"/>
                <w:sz w:val="21"/>
                <w:szCs w:val="21"/>
                <w:highlight w:val="none"/>
              </w:rPr>
            </w:pPr>
          </w:p>
        </w:tc>
        <w:tc>
          <w:tcPr>
            <w:tcW w:w="8566"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hd w:val="clear" w:fill="auto"/>
              <w:spacing w:line="360" w:lineRule="auto"/>
              <w:contextualSpacing/>
              <w:rPr>
                <w:rFonts w:hint="eastAsia" w:ascii="宋体" w:hAnsi="宋体" w:eastAsia="宋体" w:cs="宋体"/>
                <w:szCs w:val="21"/>
                <w:highlight w:val="none"/>
              </w:rPr>
            </w:pPr>
            <w:r>
              <w:rPr>
                <w:rFonts w:hint="eastAsia" w:ascii="宋体" w:hAnsi="宋体" w:eastAsia="宋体" w:cs="宋体"/>
                <w:b/>
                <w:bCs/>
                <w:sz w:val="21"/>
                <w:szCs w:val="21"/>
                <w:highlight w:val="none"/>
              </w:rPr>
              <w:t>以上项目若有缺项的，该项为0分。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591" w:hRule="atLeast"/>
          <w:jc w:val="center"/>
        </w:trPr>
        <w:tc>
          <w:tcPr>
            <w:tcW w:w="1282" w:type="dxa"/>
            <w:vMerge w:val="restart"/>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2.2.4</w:t>
            </w:r>
          </w:p>
          <w:p>
            <w:pPr>
              <w:widowControl/>
              <w:shd w:val="clear" w:fill="auto"/>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(2)</w:t>
            </w:r>
          </w:p>
        </w:tc>
        <w:tc>
          <w:tcPr>
            <w:tcW w:w="1225" w:type="dxa"/>
            <w:gridSpan w:val="2"/>
            <w:vMerge w:val="restart"/>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综合标</w:t>
            </w:r>
          </w:p>
          <w:p>
            <w:pPr>
              <w:widowControl/>
              <w:shd w:val="clear" w:fill="auto"/>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tc>
        <w:tc>
          <w:tcPr>
            <w:tcW w:w="1660" w:type="dxa"/>
            <w:tcBorders>
              <w:top w:val="single" w:color="auto" w:sz="4" w:space="0"/>
              <w:left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clear" w:fill="auto"/>
              <w:spacing w:line="360" w:lineRule="auto"/>
              <w:jc w:val="center"/>
              <w:rPr>
                <w:rFonts w:hint="eastAsia" w:ascii="宋体" w:hAnsi="宋体" w:eastAsia="宋体" w:cs="宋体"/>
                <w:color w:val="auto"/>
                <w:kern w:val="0"/>
                <w:sz w:val="21"/>
                <w:szCs w:val="21"/>
                <w:highlight w:val="none"/>
                <w:lang w:val="en-US" w:eastAsia="zh-CN"/>
              </w:rPr>
            </w:pPr>
          </w:p>
          <w:p>
            <w:pPr>
              <w:widowControl/>
              <w:shd w:val="clear" w:fill="auto"/>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000000"/>
                <w:sz w:val="21"/>
                <w:szCs w:val="21"/>
                <w:highlight w:val="none"/>
              </w:rPr>
              <w:t>项目管理机构评分标准（</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tc>
        <w:tc>
          <w:tcPr>
            <w:tcW w:w="5681" w:type="dxa"/>
            <w:tcBorders>
              <w:top w:val="single" w:color="auto" w:sz="4" w:space="0"/>
              <w:left w:val="single" w:color="000000" w:sz="4" w:space="0"/>
              <w:bottom w:val="single" w:color="auto" w:sz="4" w:space="0"/>
              <w:right w:val="single" w:color="000000" w:sz="4" w:space="0"/>
            </w:tcBorders>
            <w:shd w:val="solid" w:color="FFFFFF" w:fill="auto"/>
            <w:tcMar>
              <w:top w:w="0" w:type="dxa"/>
              <w:left w:w="108" w:type="dxa"/>
              <w:bottom w:w="0" w:type="dxa"/>
              <w:right w:w="108" w:type="dxa"/>
            </w:tcMar>
            <w:vAlign w:val="center"/>
          </w:tcPr>
          <w:p>
            <w:pPr>
              <w:pStyle w:val="43"/>
              <w:shd w:val="clear" w:fill="auto"/>
              <w:spacing w:beforeLines="0" w:afterLines="0"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项目管理机构各专业管理人员（施工、质量、材料、安全、资料）齐全且在投标企业缴纳社保的得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分，缺一项扣</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分，扣完为止。</w:t>
            </w:r>
          </w:p>
          <w:p>
            <w:pPr>
              <w:keepNext w:val="0"/>
              <w:keepLines w:val="0"/>
              <w:pageBreakBefore w:val="0"/>
              <w:widowControl/>
              <w:shd w:val="clear" w:fill="auto"/>
              <w:kinsoku/>
              <w:wordWrap/>
              <w:overflowPunct/>
              <w:topLinePunct w:val="0"/>
              <w:autoSpaceDE/>
              <w:bidi w:val="0"/>
              <w:adjustRightInd/>
              <w:snapToGrid/>
              <w:spacing w:beforeLines="0" w:afterLines="0" w:line="360"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000000"/>
                <w:sz w:val="21"/>
                <w:szCs w:val="21"/>
                <w:highlight w:val="none"/>
                <w:lang w:eastAsia="zh-CN"/>
              </w:rPr>
              <w:t>备注：投标文件中须提供完整的项目部成员身份证、劳动合同、社保证明复印件。（</w:t>
            </w:r>
            <w:r>
              <w:rPr>
                <w:rFonts w:hint="eastAsia" w:ascii="宋体" w:hAnsi="宋体" w:eastAsia="宋体" w:cs="宋体"/>
                <w:color w:val="auto"/>
                <w:sz w:val="21"/>
                <w:szCs w:val="21"/>
                <w:highlight w:val="none"/>
                <w:lang w:val="en-US" w:eastAsia="zh-CN"/>
              </w:rPr>
              <w:t>其中施工员、质量员、材料员、资料员</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应提供相应岗位资格证书或投标单位针对本项目的岗位任命书或其他能够证明职业能力的材料，安全员提供安全C证。</w:t>
            </w:r>
            <w:r>
              <w:rPr>
                <w:rFonts w:hint="eastAsia" w:ascii="宋体" w:hAnsi="宋体" w:eastAsia="宋体" w:cs="宋体"/>
                <w:color w:val="000000"/>
                <w:sz w:val="21"/>
                <w:szCs w:val="21"/>
                <w:highlight w:val="none"/>
                <w:lang w:eastAsia="zh-CN"/>
              </w:rPr>
              <w:t>社保证明由当地社保部门出具的查询明细表并加盖社保部门印章，或个人、集体对账单，或具有同等效用的网上查询打印页的单位整体缴纳清单或个人缴费明细表，除此之外的证明无效）</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1282" w:type="dxa"/>
            <w:vMerge w:val="continue"/>
            <w:tcBorders>
              <w:top w:val="single" w:color="auto" w:sz="4" w:space="0"/>
              <w:left w:val="single" w:color="000000" w:sz="4" w:space="0"/>
              <w:right w:val="single" w:color="000000" w:sz="4" w:space="0"/>
            </w:tcBorders>
            <w:shd w:val="clear" w:color="auto" w:fill="auto"/>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2"/>
                <w:sz w:val="21"/>
                <w:szCs w:val="21"/>
                <w:highlight w:val="none"/>
              </w:rPr>
            </w:pPr>
          </w:p>
        </w:tc>
        <w:tc>
          <w:tcPr>
            <w:tcW w:w="1225" w:type="dxa"/>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2"/>
                <w:sz w:val="21"/>
                <w:szCs w:val="21"/>
                <w:highlight w:val="none"/>
              </w:rPr>
            </w:pPr>
          </w:p>
        </w:tc>
        <w:tc>
          <w:tcPr>
            <w:tcW w:w="1660" w:type="dxa"/>
            <w:tcBorders>
              <w:top w:val="single" w:color="auto"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rPr>
              <w:t>服务承诺（</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tc>
        <w:tc>
          <w:tcPr>
            <w:tcW w:w="5681" w:type="dxa"/>
            <w:tcBorders>
              <w:top w:val="single" w:color="auto"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440" w:lineRule="exact"/>
              <w:jc w:val="both"/>
              <w:textAlignment w:val="auto"/>
              <w:rPr>
                <w:rFonts w:hint="eastAsia" w:ascii="宋体" w:hAnsi="宋体" w:eastAsia="宋体" w:cs="宋体"/>
                <w:color w:val="auto"/>
                <w:kern w:val="2"/>
                <w:sz w:val="21"/>
                <w:szCs w:val="21"/>
                <w:highlight w:val="none"/>
                <w:shd w:val="clear" w:color="auto" w:fill="FFFFFF"/>
              </w:rPr>
            </w:pPr>
            <w:r>
              <w:rPr>
                <w:rFonts w:hint="eastAsia" w:ascii="宋体" w:hAnsi="宋体" w:eastAsia="宋体" w:cs="宋体"/>
                <w:color w:val="auto"/>
                <w:kern w:val="2"/>
                <w:sz w:val="21"/>
                <w:szCs w:val="21"/>
                <w:highlight w:val="none"/>
                <w:shd w:val="clear" w:color="auto" w:fill="FFFFFF"/>
              </w:rPr>
              <w:t>（1）协调周边关系，技术、机械设备投入等方面的服务承诺（0-</w:t>
            </w:r>
            <w:r>
              <w:rPr>
                <w:rFonts w:hint="eastAsia" w:ascii="宋体" w:hAnsi="宋体" w:eastAsia="宋体" w:cs="宋体"/>
                <w:color w:val="auto"/>
                <w:kern w:val="2"/>
                <w:sz w:val="21"/>
                <w:szCs w:val="21"/>
                <w:highlight w:val="none"/>
                <w:shd w:val="clear" w:color="auto" w:fill="FFFFFF"/>
                <w:lang w:val="en-US" w:eastAsia="zh-CN"/>
              </w:rPr>
              <w:t>2</w:t>
            </w:r>
            <w:r>
              <w:rPr>
                <w:rFonts w:hint="eastAsia" w:ascii="宋体" w:hAnsi="宋体" w:eastAsia="宋体" w:cs="宋体"/>
                <w:color w:val="auto"/>
                <w:kern w:val="2"/>
                <w:sz w:val="21"/>
                <w:szCs w:val="21"/>
                <w:highlight w:val="none"/>
                <w:shd w:val="clear" w:color="auto" w:fill="FFFFFF"/>
              </w:rPr>
              <w:t>分）</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jc w:val="both"/>
              <w:textAlignment w:val="auto"/>
              <w:rPr>
                <w:rFonts w:hint="eastAsia" w:ascii="宋体" w:hAnsi="宋体" w:eastAsia="宋体" w:cs="宋体"/>
                <w:color w:val="auto"/>
                <w:kern w:val="2"/>
                <w:sz w:val="21"/>
                <w:szCs w:val="21"/>
                <w:highlight w:val="none"/>
                <w:shd w:val="clear" w:color="auto" w:fill="FFFFFF"/>
              </w:rPr>
            </w:pPr>
            <w:r>
              <w:rPr>
                <w:rFonts w:hint="eastAsia" w:ascii="宋体" w:hAnsi="宋体" w:eastAsia="宋体" w:cs="宋体"/>
                <w:color w:val="auto"/>
                <w:kern w:val="2"/>
                <w:sz w:val="21"/>
                <w:szCs w:val="21"/>
                <w:highlight w:val="none"/>
                <w:shd w:val="clear" w:color="auto" w:fill="FFFFFF"/>
              </w:rPr>
              <w:t>（2）投标人保修期内的服务承诺（0-</w:t>
            </w:r>
            <w:r>
              <w:rPr>
                <w:rFonts w:hint="eastAsia" w:ascii="宋体" w:hAnsi="宋体" w:eastAsia="宋体" w:cs="宋体"/>
                <w:color w:val="auto"/>
                <w:kern w:val="2"/>
                <w:sz w:val="21"/>
                <w:szCs w:val="21"/>
                <w:highlight w:val="none"/>
                <w:shd w:val="clear" w:color="auto" w:fill="FFFFFF"/>
                <w:lang w:val="en-US" w:eastAsia="zh-CN"/>
              </w:rPr>
              <w:t>1.5</w:t>
            </w:r>
            <w:r>
              <w:rPr>
                <w:rFonts w:hint="eastAsia" w:ascii="宋体" w:hAnsi="宋体" w:eastAsia="宋体" w:cs="宋体"/>
                <w:color w:val="auto"/>
                <w:kern w:val="2"/>
                <w:sz w:val="21"/>
                <w:szCs w:val="21"/>
                <w:highlight w:val="none"/>
                <w:shd w:val="clear" w:color="auto" w:fill="FFFFFF"/>
              </w:rPr>
              <w:t>分）</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jc w:val="both"/>
              <w:textAlignment w:val="auto"/>
              <w:rPr>
                <w:rFonts w:hint="eastAsia" w:ascii="宋体" w:hAnsi="宋体" w:eastAsia="宋体" w:cs="宋体"/>
                <w:highlight w:val="none"/>
              </w:rPr>
            </w:pPr>
            <w:r>
              <w:rPr>
                <w:rFonts w:hint="eastAsia" w:ascii="宋体" w:hAnsi="宋体" w:eastAsia="宋体" w:cs="宋体"/>
                <w:color w:val="auto"/>
                <w:kern w:val="2"/>
                <w:sz w:val="21"/>
                <w:szCs w:val="21"/>
                <w:highlight w:val="none"/>
                <w:shd w:val="clear" w:color="auto" w:fill="FFFFFF"/>
              </w:rPr>
              <w:t>（3）投标人保修期外的服务承诺（0-1</w:t>
            </w:r>
            <w:r>
              <w:rPr>
                <w:rFonts w:hint="eastAsia" w:ascii="宋体" w:hAnsi="宋体" w:eastAsia="宋体" w:cs="宋体"/>
                <w:color w:val="auto"/>
                <w:kern w:val="2"/>
                <w:sz w:val="21"/>
                <w:szCs w:val="21"/>
                <w:highlight w:val="none"/>
                <w:shd w:val="clear" w:color="auto" w:fill="FFFFFF"/>
                <w:lang w:val="en-US" w:eastAsia="zh-CN"/>
              </w:rPr>
              <w:t>.5</w:t>
            </w:r>
            <w:r>
              <w:rPr>
                <w:rFonts w:hint="eastAsia" w:ascii="宋体" w:hAnsi="宋体" w:eastAsia="宋体" w:cs="宋体"/>
                <w:color w:val="auto"/>
                <w:kern w:val="2"/>
                <w:sz w:val="21"/>
                <w:szCs w:val="21"/>
                <w:highlight w:val="none"/>
                <w:shd w:val="clear" w:color="auto" w:fill="FFFFFF"/>
              </w:rPr>
              <w:t>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764" w:hRule="atLeast"/>
          <w:jc w:val="center"/>
        </w:trPr>
        <w:tc>
          <w:tcPr>
            <w:tcW w:w="1282" w:type="dxa"/>
            <w:vMerge w:val="restart"/>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2"/>
                <w:sz w:val="21"/>
                <w:szCs w:val="21"/>
                <w:highlight w:val="none"/>
              </w:rPr>
            </w:pPr>
          </w:p>
          <w:p>
            <w:pPr>
              <w:widowControl/>
              <w:shd w:val="clear" w:fill="auto"/>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2.2.4</w:t>
            </w:r>
          </w:p>
          <w:p>
            <w:pPr>
              <w:widowControl/>
              <w:shd w:val="clear" w:fill="auto"/>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1225" w:type="dxa"/>
            <w:gridSpan w:val="2"/>
            <w:vMerge w:val="restart"/>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投标报价评分标准(</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0分)</w:t>
            </w:r>
          </w:p>
        </w:tc>
        <w:tc>
          <w:tcPr>
            <w:tcW w:w="166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clear" w:fill="auto"/>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w:t>
            </w:r>
          </w:p>
          <w:p>
            <w:pPr>
              <w:widowControl/>
              <w:shd w:val="clear" w:fill="auto"/>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（30分）</w:t>
            </w:r>
          </w:p>
          <w:p>
            <w:pPr>
              <w:widowControl/>
              <w:shd w:val="clear" w:fill="auto"/>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（不含</w:t>
            </w:r>
            <w:r>
              <w:rPr>
                <w:rFonts w:hint="eastAsia" w:ascii="宋体" w:hAnsi="宋体" w:eastAsia="宋体" w:cs="宋体"/>
                <w:color w:val="auto"/>
                <w:sz w:val="21"/>
                <w:szCs w:val="21"/>
                <w:highlight w:val="none"/>
              </w:rPr>
              <w:t>规费、税金、安全文明施工费、暂列金额、专业工程暂估价</w:t>
            </w:r>
            <w:r>
              <w:rPr>
                <w:rFonts w:hint="eastAsia" w:ascii="宋体" w:hAnsi="宋体" w:eastAsia="宋体" w:cs="宋体"/>
                <w:color w:val="auto"/>
                <w:sz w:val="21"/>
                <w:szCs w:val="21"/>
                <w:highlight w:val="none"/>
                <w:lang w:eastAsia="zh-CN"/>
              </w:rPr>
              <w:t>）</w:t>
            </w: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keepNext w:val="0"/>
              <w:keepLines w:val="0"/>
              <w:pageBreakBefore w:val="0"/>
              <w:widowControl/>
              <w:shd w:val="clear" w:fill="auto"/>
              <w:kinsoku/>
              <w:wordWrap/>
              <w:overflowPunct/>
              <w:topLinePunct w:val="0"/>
              <w:autoSpaceDE/>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以评标基准价为基准,投标人的评标报价与评标基准价相等者得27分，评标报价高于评标基准价的，按每高于评标基准价1%的在27分的基础上扣1分的比例进行扣分，最多扣10分；评标报价低于评标基准价的，按每低于评标基准价1%的在27分的基础上加1分，最高加至30分，如评标报价低于评标基准价3%以上者，每再低1%在满分30分基础上扣1分，最多扣10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82"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2"/>
                <w:sz w:val="21"/>
                <w:szCs w:val="21"/>
                <w:highlight w:val="none"/>
              </w:rPr>
            </w:pPr>
          </w:p>
        </w:tc>
        <w:tc>
          <w:tcPr>
            <w:tcW w:w="1225" w:type="dxa"/>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2"/>
                <w:sz w:val="21"/>
                <w:szCs w:val="21"/>
                <w:highlight w:val="none"/>
              </w:rPr>
            </w:pPr>
          </w:p>
        </w:tc>
        <w:tc>
          <w:tcPr>
            <w:tcW w:w="166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360" w:lineRule="auto"/>
              <w:jc w:val="center"/>
              <w:rPr>
                <w:rFonts w:hint="eastAsia" w:ascii="宋体" w:hAnsi="宋体" w:eastAsia="宋体" w:cs="宋体"/>
                <w:color w:val="auto"/>
                <w:kern w:val="2"/>
                <w:sz w:val="21"/>
                <w:szCs w:val="21"/>
                <w:highlight w:val="none"/>
                <w:shd w:val="clear" w:color="auto" w:fill="FFFFFF"/>
              </w:rPr>
            </w:pPr>
            <w:r>
              <w:rPr>
                <w:rFonts w:hint="eastAsia" w:ascii="宋体" w:hAnsi="宋体" w:eastAsia="宋体" w:cs="宋体"/>
                <w:color w:val="auto"/>
                <w:kern w:val="0"/>
                <w:sz w:val="21"/>
                <w:szCs w:val="21"/>
                <w:highlight w:val="none"/>
              </w:rPr>
              <w:t>分部分项工程量清单项目综合单价（1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keepNext w:val="0"/>
              <w:keepLines w:val="0"/>
              <w:pageBreakBefore w:val="0"/>
              <w:widowControl/>
              <w:shd w:val="clear" w:fill="auto"/>
              <w:kinsoku/>
              <w:wordWrap/>
              <w:overflowPunct/>
              <w:topLinePunct w:val="0"/>
              <w:autoSpaceDE/>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分部分项工程项目综合单价随机选择</w:t>
            </w:r>
            <w:r>
              <w:rPr>
                <w:rFonts w:hint="eastAsia" w:ascii="宋体" w:hAnsi="宋体" w:eastAsia="宋体" w:cs="宋体"/>
                <w:color w:val="auto"/>
                <w:kern w:val="0"/>
                <w:sz w:val="21"/>
                <w:szCs w:val="21"/>
                <w:highlight w:val="none"/>
                <w:lang w:val="en-US" w:eastAsia="zh-CN"/>
              </w:rPr>
              <w:t>10项清单项目</w:t>
            </w:r>
            <w:r>
              <w:rPr>
                <w:rFonts w:hint="eastAsia" w:ascii="宋体" w:hAnsi="宋体" w:eastAsia="宋体" w:cs="宋体"/>
                <w:color w:val="auto"/>
                <w:kern w:val="0"/>
                <w:sz w:val="21"/>
                <w:szCs w:val="21"/>
                <w:highlight w:val="none"/>
              </w:rPr>
              <w:t>。综合单价以各有效投标报价的（当有效投标人5名及以上时，去掉1个最高、1个最低值）清单项目综合单价的算术平均值作为综合单价基准值。在综合单价基准值9</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%–103%范围内（不含9</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%和103%）每项得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分，在评标基准值</w:t>
            </w:r>
            <w:r>
              <w:rPr>
                <w:rFonts w:hint="eastAsia" w:ascii="宋体" w:hAnsi="宋体" w:eastAsia="宋体" w:cs="宋体"/>
                <w:color w:val="auto"/>
                <w:kern w:val="0"/>
                <w:sz w:val="21"/>
                <w:szCs w:val="21"/>
                <w:highlight w:val="none"/>
                <w:lang w:val="en-US" w:eastAsia="zh-CN"/>
              </w:rPr>
              <w:t>90</w:t>
            </w:r>
            <w:r>
              <w:rPr>
                <w:rFonts w:hint="eastAsia" w:ascii="宋体" w:hAnsi="宋体" w:eastAsia="宋体" w:cs="宋体"/>
                <w:color w:val="auto"/>
                <w:kern w:val="0"/>
                <w:sz w:val="21"/>
                <w:szCs w:val="21"/>
                <w:highlight w:val="none"/>
              </w:rPr>
              <w:t>%–9</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%范围内（含</w:t>
            </w:r>
            <w:r>
              <w:rPr>
                <w:rFonts w:hint="eastAsia" w:ascii="宋体" w:hAnsi="宋体" w:eastAsia="宋体" w:cs="宋体"/>
                <w:color w:val="auto"/>
                <w:kern w:val="0"/>
                <w:sz w:val="21"/>
                <w:szCs w:val="21"/>
                <w:highlight w:val="none"/>
                <w:lang w:val="en-US" w:eastAsia="zh-CN"/>
              </w:rPr>
              <w:t>90</w:t>
            </w:r>
            <w:r>
              <w:rPr>
                <w:rFonts w:hint="eastAsia" w:ascii="宋体" w:hAnsi="宋体" w:eastAsia="宋体" w:cs="宋体"/>
                <w:color w:val="auto"/>
                <w:kern w:val="0"/>
                <w:sz w:val="21"/>
                <w:szCs w:val="21"/>
                <w:highlight w:val="none"/>
              </w:rPr>
              <w:t>%和9</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%）每项得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分，满分共计1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分。超出该范围的不得分。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324" w:hRule="atLeast"/>
          <w:jc w:val="center"/>
        </w:trPr>
        <w:tc>
          <w:tcPr>
            <w:tcW w:w="1282"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2"/>
                <w:sz w:val="21"/>
                <w:szCs w:val="21"/>
                <w:highlight w:val="none"/>
              </w:rPr>
            </w:pPr>
          </w:p>
        </w:tc>
        <w:tc>
          <w:tcPr>
            <w:tcW w:w="1225" w:type="dxa"/>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2"/>
                <w:sz w:val="21"/>
                <w:szCs w:val="21"/>
                <w:highlight w:val="none"/>
              </w:rPr>
            </w:pPr>
          </w:p>
        </w:tc>
        <w:tc>
          <w:tcPr>
            <w:tcW w:w="166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主要材料单价得分</w:t>
            </w:r>
          </w:p>
          <w:p>
            <w:pPr>
              <w:widowControl/>
              <w:shd w:val="solid" w:color="FFFFFF" w:fill="auto"/>
              <w:autoSpaceDN w:val="0"/>
              <w:spacing w:line="360" w:lineRule="auto"/>
              <w:jc w:val="center"/>
              <w:rPr>
                <w:rFonts w:hint="eastAsia" w:ascii="宋体" w:hAnsi="宋体" w:eastAsia="宋体" w:cs="宋体"/>
                <w:color w:val="auto"/>
                <w:kern w:val="2"/>
                <w:sz w:val="21"/>
                <w:szCs w:val="21"/>
                <w:highlight w:val="none"/>
                <w:shd w:val="clear" w:color="auto" w:fill="FFFFFF"/>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keepNext w:val="0"/>
              <w:keepLines w:val="0"/>
              <w:pageBreakBefore w:val="0"/>
              <w:widowControl/>
              <w:shd w:val="clear" w:fill="auto"/>
              <w:kinsoku/>
              <w:wordWrap/>
              <w:overflowPunct/>
              <w:topLinePunct w:val="0"/>
              <w:autoSpaceDE/>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主要材料项目单价</w:t>
            </w:r>
            <w:r>
              <w:rPr>
                <w:rFonts w:hint="eastAsia" w:ascii="宋体" w:hAnsi="宋体" w:eastAsia="宋体" w:cs="宋体"/>
                <w:color w:val="auto"/>
                <w:kern w:val="0"/>
                <w:sz w:val="21"/>
                <w:szCs w:val="21"/>
                <w:highlight w:val="none"/>
                <w:lang w:val="en-US" w:eastAsia="zh-CN"/>
              </w:rPr>
              <w:t>随机</w:t>
            </w:r>
            <w:r>
              <w:rPr>
                <w:rFonts w:hint="eastAsia" w:ascii="宋体" w:hAnsi="宋体" w:eastAsia="宋体" w:cs="宋体"/>
                <w:color w:val="auto"/>
                <w:kern w:val="0"/>
                <w:sz w:val="21"/>
                <w:szCs w:val="21"/>
                <w:highlight w:val="none"/>
              </w:rPr>
              <w:t>选择10项材料，材料的单价以各有效投标报价（当有效投标人5名及以上时，去掉1个最高、1个最低值）材料单价的算术平均值作为材料基准值。在材料基准值9</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%–103%范围内（不含9</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%和103%）每项得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分，在材料基准值</w:t>
            </w:r>
            <w:r>
              <w:rPr>
                <w:rFonts w:hint="eastAsia" w:ascii="宋体" w:hAnsi="宋体" w:eastAsia="宋体" w:cs="宋体"/>
                <w:color w:val="auto"/>
                <w:kern w:val="0"/>
                <w:sz w:val="21"/>
                <w:szCs w:val="21"/>
                <w:highlight w:val="none"/>
                <w:lang w:val="en-US" w:eastAsia="zh-CN"/>
              </w:rPr>
              <w:t>90</w:t>
            </w:r>
            <w:r>
              <w:rPr>
                <w:rFonts w:hint="eastAsia" w:ascii="宋体" w:hAnsi="宋体" w:eastAsia="宋体" w:cs="宋体"/>
                <w:color w:val="auto"/>
                <w:kern w:val="0"/>
                <w:sz w:val="21"/>
                <w:szCs w:val="21"/>
                <w:highlight w:val="none"/>
              </w:rPr>
              <w:t>%–9</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%范围内（含90%和95%）每项得</w:t>
            </w:r>
            <w:r>
              <w:rPr>
                <w:rFonts w:hint="eastAsia" w:ascii="宋体" w:hAnsi="宋体" w:eastAsia="宋体" w:cs="宋体"/>
                <w:color w:val="auto"/>
                <w:kern w:val="0"/>
                <w:sz w:val="21"/>
                <w:szCs w:val="21"/>
                <w:highlight w:val="none"/>
                <w:lang w:val="en-US" w:eastAsia="zh-CN"/>
              </w:rPr>
              <w:t>0.25</w:t>
            </w:r>
            <w:r>
              <w:rPr>
                <w:rFonts w:hint="eastAsia" w:ascii="宋体" w:hAnsi="宋体" w:eastAsia="宋体" w:cs="宋体"/>
                <w:color w:val="auto"/>
                <w:kern w:val="0"/>
                <w:sz w:val="21"/>
                <w:szCs w:val="21"/>
                <w:highlight w:val="none"/>
              </w:rPr>
              <w:t>分。超出该范围的不得分。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282" w:type="dxa"/>
            <w:vMerge w:val="continue"/>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0"/>
                <w:sz w:val="21"/>
                <w:szCs w:val="21"/>
                <w:highlight w:val="none"/>
              </w:rPr>
            </w:pPr>
          </w:p>
        </w:tc>
        <w:tc>
          <w:tcPr>
            <w:tcW w:w="1225" w:type="dxa"/>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widowControl/>
              <w:shd w:val="clear" w:fill="auto"/>
              <w:autoSpaceDN w:val="0"/>
              <w:spacing w:line="360" w:lineRule="auto"/>
              <w:jc w:val="center"/>
              <w:rPr>
                <w:rFonts w:hint="eastAsia" w:ascii="宋体" w:hAnsi="宋体" w:eastAsia="宋体" w:cs="宋体"/>
                <w:color w:val="auto"/>
                <w:kern w:val="0"/>
                <w:sz w:val="21"/>
                <w:szCs w:val="21"/>
                <w:highlight w:val="none"/>
              </w:rPr>
            </w:pPr>
          </w:p>
        </w:tc>
        <w:tc>
          <w:tcPr>
            <w:tcW w:w="166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keepNext w:val="0"/>
              <w:keepLines w:val="0"/>
              <w:pageBreakBefore w:val="0"/>
              <w:widowControl/>
              <w:shd w:val="clear" w:fill="auto"/>
              <w:kinsoku/>
              <w:wordWrap/>
              <w:overflowPunct/>
              <w:topLinePunct w:val="0"/>
              <w:autoSpaceDE/>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措施费报价得分（不含安全文明措施费）</w:t>
            </w:r>
          </w:p>
          <w:p>
            <w:pPr>
              <w:keepNext w:val="0"/>
              <w:keepLines w:val="0"/>
              <w:pageBreakBefore w:val="0"/>
              <w:widowControl/>
              <w:shd w:val="clear" w:fill="auto"/>
              <w:kinsoku/>
              <w:wordWrap/>
              <w:overflowPunct/>
              <w:topLinePunct w:val="0"/>
              <w:autoSpaceDE/>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c>
          <w:tcPr>
            <w:tcW w:w="568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keepNext w:val="0"/>
              <w:keepLines w:val="0"/>
              <w:pageBreakBefore w:val="0"/>
              <w:widowControl/>
              <w:shd w:val="solid" w:color="FFFFFF" w:fill="auto"/>
              <w:kinsoku/>
              <w:wordWrap/>
              <w:overflowPunct/>
              <w:topLinePunct w:val="0"/>
              <w:autoSpaceDE/>
              <w:autoSpaceDN w:val="0"/>
              <w:bidi w:val="0"/>
              <w:adjustRightInd/>
              <w:snapToGrid/>
              <w:spacing w:line="440" w:lineRule="exact"/>
              <w:jc w:val="both"/>
              <w:textAlignment w:val="auto"/>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rPr>
              <w:t>措施项目费基准值是在最高投标限价中措施项目费用80%-110%范围之间的有效投标人所报措施项目费的算术平均值。</w:t>
            </w:r>
            <w:r>
              <w:rPr>
                <w:rFonts w:hint="eastAsia" w:ascii="宋体" w:hAnsi="宋体" w:eastAsia="宋体" w:cs="宋体"/>
                <w:color w:val="auto"/>
                <w:kern w:val="0"/>
                <w:sz w:val="21"/>
                <w:szCs w:val="21"/>
                <w:highlight w:val="none"/>
                <w:shd w:val="clear" w:color="auto" w:fill="FFFFFF"/>
                <w:lang w:eastAsia="zh-CN"/>
              </w:rPr>
              <w:t>若措施费报价均不在</w:t>
            </w:r>
            <w:r>
              <w:rPr>
                <w:rFonts w:hint="eastAsia" w:ascii="宋体" w:hAnsi="宋体" w:eastAsia="宋体" w:cs="宋体"/>
                <w:color w:val="auto"/>
                <w:kern w:val="0"/>
                <w:sz w:val="21"/>
                <w:szCs w:val="21"/>
                <w:highlight w:val="none"/>
                <w:shd w:val="clear" w:color="auto" w:fill="FFFFFF"/>
              </w:rPr>
              <w:t>最高投标限价中措施项目费用80%-110%范围之间的</w:t>
            </w:r>
            <w:r>
              <w:rPr>
                <w:rFonts w:hint="eastAsia" w:ascii="宋体" w:hAnsi="宋体" w:eastAsia="宋体" w:cs="宋体"/>
                <w:color w:val="auto"/>
                <w:kern w:val="0"/>
                <w:sz w:val="21"/>
                <w:szCs w:val="21"/>
                <w:highlight w:val="none"/>
                <w:shd w:val="clear" w:color="auto" w:fill="FFFFFF"/>
                <w:lang w:eastAsia="zh-CN"/>
              </w:rPr>
              <w:t>，按措施费</w:t>
            </w:r>
            <w:r>
              <w:rPr>
                <w:rFonts w:hint="eastAsia" w:ascii="宋体" w:hAnsi="宋体" w:eastAsia="宋体" w:cs="宋体"/>
                <w:color w:val="auto"/>
                <w:kern w:val="0"/>
                <w:sz w:val="21"/>
                <w:szCs w:val="21"/>
                <w:highlight w:val="none"/>
                <w:shd w:val="clear" w:color="auto" w:fill="FFFFFF"/>
              </w:rPr>
              <w:t>最高投标限价</w:t>
            </w:r>
            <w:r>
              <w:rPr>
                <w:rFonts w:hint="eastAsia" w:ascii="宋体" w:hAnsi="宋体" w:eastAsia="宋体" w:cs="宋体"/>
                <w:color w:val="auto"/>
                <w:kern w:val="0"/>
                <w:sz w:val="21"/>
                <w:szCs w:val="21"/>
                <w:highlight w:val="none"/>
                <w:shd w:val="clear" w:color="auto" w:fill="FFFFFF"/>
                <w:lang w:eastAsia="zh-CN"/>
              </w:rPr>
              <w:t>的</w:t>
            </w:r>
            <w:r>
              <w:rPr>
                <w:rFonts w:hint="eastAsia" w:ascii="宋体" w:hAnsi="宋体" w:eastAsia="宋体" w:cs="宋体"/>
                <w:color w:val="auto"/>
                <w:kern w:val="0"/>
                <w:sz w:val="21"/>
                <w:szCs w:val="21"/>
                <w:highlight w:val="none"/>
                <w:shd w:val="clear" w:color="auto" w:fill="FFFFFF"/>
                <w:lang w:val="en-US" w:eastAsia="zh-CN"/>
              </w:rPr>
              <w:t>95%作为基准</w:t>
            </w:r>
            <w:r>
              <w:rPr>
                <w:rFonts w:hint="eastAsia" w:ascii="宋体" w:hAnsi="宋体" w:eastAsia="宋体" w:cs="宋体"/>
                <w:color w:val="auto"/>
                <w:kern w:val="0"/>
                <w:sz w:val="21"/>
                <w:szCs w:val="21"/>
                <w:highlight w:val="none"/>
                <w:shd w:val="clear" w:color="auto" w:fill="FFFFFF"/>
              </w:rPr>
              <w:t>值</w:t>
            </w:r>
            <w:r>
              <w:rPr>
                <w:rFonts w:hint="eastAsia" w:ascii="宋体" w:hAnsi="宋体" w:eastAsia="宋体" w:cs="宋体"/>
                <w:color w:val="auto"/>
                <w:kern w:val="0"/>
                <w:sz w:val="21"/>
                <w:szCs w:val="21"/>
                <w:highlight w:val="none"/>
                <w:shd w:val="clear" w:color="auto" w:fill="FFFFFF"/>
                <w:lang w:val="en-US" w:eastAsia="zh-CN"/>
              </w:rPr>
              <w:t>。</w:t>
            </w:r>
          </w:p>
          <w:p>
            <w:pPr>
              <w:keepNext w:val="0"/>
              <w:keepLines w:val="0"/>
              <w:pageBreakBefore w:val="0"/>
              <w:widowControl/>
              <w:numPr>
                <w:ilvl w:val="0"/>
                <w:numId w:val="0"/>
              </w:numPr>
              <w:shd w:val="solid" w:color="FFFFFF" w:fill="auto"/>
              <w:kinsoku/>
              <w:wordWrap/>
              <w:overflowPunct/>
              <w:topLinePunct w:val="0"/>
              <w:autoSpaceDE/>
              <w:autoSpaceDN w:val="0"/>
              <w:bidi w:val="0"/>
              <w:adjustRightInd/>
              <w:snapToGrid/>
              <w:spacing w:line="440" w:lineRule="exact"/>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lang w:val="en-US" w:eastAsia="zh-CN"/>
              </w:rPr>
              <w:t>1</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投标所报措施费与措施项目基准值相等得基本分3分。</w:t>
            </w:r>
          </w:p>
          <w:p>
            <w:pPr>
              <w:keepNext w:val="0"/>
              <w:keepLines w:val="0"/>
              <w:pageBreakBefore w:val="0"/>
              <w:widowControl/>
              <w:numPr>
                <w:ilvl w:val="0"/>
                <w:numId w:val="0"/>
              </w:numPr>
              <w:shd w:val="solid" w:color="FFFFFF" w:fill="auto"/>
              <w:kinsoku/>
              <w:wordWrap/>
              <w:overflowPunct/>
              <w:topLinePunct w:val="0"/>
              <w:autoSpaceDE/>
              <w:autoSpaceDN w:val="0"/>
              <w:bidi w:val="0"/>
              <w:adjustRightInd/>
              <w:snapToGrid/>
              <w:spacing w:line="440" w:lineRule="exact"/>
              <w:jc w:val="both"/>
              <w:textAlignment w:val="auto"/>
              <w:rPr>
                <w:rFonts w:hint="eastAsia" w:ascii="宋体" w:hAnsi="宋体" w:eastAsia="宋体" w:cs="宋体"/>
                <w:color w:val="auto"/>
                <w:kern w:val="0"/>
                <w:sz w:val="21"/>
                <w:szCs w:val="21"/>
                <w:highlight w:val="none"/>
                <w:shd w:val="clear" w:color="auto" w:fill="FFFFFF"/>
                <w:lang w:eastAsia="zh-CN"/>
              </w:rPr>
            </w:pP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lang w:val="en-US" w:eastAsia="zh-CN"/>
              </w:rPr>
              <w:t>2</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当投标报价低于措施项目基准值时，每低1%在基本分3分的基础上加0.1分，最多加至5分为止</w:t>
            </w:r>
            <w:r>
              <w:rPr>
                <w:rFonts w:hint="eastAsia" w:ascii="宋体" w:hAnsi="宋体" w:eastAsia="宋体" w:cs="宋体"/>
                <w:color w:val="auto"/>
                <w:kern w:val="0"/>
                <w:sz w:val="21"/>
                <w:szCs w:val="21"/>
                <w:highlight w:val="none"/>
                <w:shd w:val="clear" w:color="auto" w:fill="FFFFFF"/>
                <w:lang w:eastAsia="zh-CN"/>
              </w:rPr>
              <w:t>。</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lang w:val="en-US" w:eastAsia="zh-CN"/>
              </w:rPr>
              <w:t>3</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当高于措施项目基准值时，每高于1%时，在基本分3分的基础上扣0.2分，扣完为止。</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841" w:hRule="atLeast"/>
          <w:jc w:val="center"/>
        </w:trPr>
        <w:tc>
          <w:tcPr>
            <w:tcW w:w="984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hd w:val="clear" w:fill="auto"/>
              <w:autoSpaceDN w:val="0"/>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p>
            <w:pPr>
              <w:widowControl/>
              <w:shd w:val="solid" w:color="FFFFFF" w:fill="auto"/>
              <w:autoSpaceDN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1．评委在评分办法规定的分值范围内打分，超出范围的，评分无效。有缺项的，对应项不得分。</w:t>
            </w:r>
          </w:p>
          <w:p>
            <w:pPr>
              <w:widowControl/>
              <w:shd w:val="solid" w:color="FFFFFF" w:fill="auto"/>
              <w:autoSpaceDN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2．投标人综合得分﹦</w:t>
            </w:r>
            <w:r>
              <w:rPr>
                <w:rFonts w:hint="eastAsia" w:ascii="宋体" w:hAnsi="宋体" w:eastAsia="宋体" w:cs="宋体"/>
                <w:color w:val="auto"/>
                <w:kern w:val="0"/>
                <w:sz w:val="21"/>
                <w:szCs w:val="21"/>
                <w:highlight w:val="none"/>
                <w:lang w:eastAsia="zh-CN"/>
              </w:rPr>
              <w:t>技术标</w:t>
            </w:r>
            <w:r>
              <w:rPr>
                <w:rFonts w:hint="eastAsia" w:ascii="宋体" w:hAnsi="宋体" w:eastAsia="宋体" w:cs="宋体"/>
                <w:color w:val="auto"/>
                <w:kern w:val="0"/>
                <w:sz w:val="21"/>
                <w:szCs w:val="21"/>
                <w:highlight w:val="none"/>
              </w:rPr>
              <w:t>得分+</w:t>
            </w:r>
            <w:r>
              <w:rPr>
                <w:rFonts w:hint="eastAsia" w:ascii="宋体" w:hAnsi="宋体" w:eastAsia="宋体" w:cs="宋体"/>
                <w:color w:val="auto"/>
                <w:kern w:val="0"/>
                <w:sz w:val="21"/>
                <w:szCs w:val="21"/>
                <w:highlight w:val="none"/>
                <w:lang w:eastAsia="zh-CN"/>
              </w:rPr>
              <w:t>综合标</w:t>
            </w:r>
            <w:r>
              <w:rPr>
                <w:rFonts w:hint="eastAsia" w:ascii="宋体" w:hAnsi="宋体" w:eastAsia="宋体" w:cs="宋体"/>
                <w:color w:val="auto"/>
                <w:kern w:val="0"/>
                <w:sz w:val="21"/>
                <w:szCs w:val="21"/>
                <w:highlight w:val="none"/>
                <w:lang w:val="en-US" w:eastAsia="zh-CN"/>
              </w:rPr>
              <w:t>得分</w:t>
            </w:r>
            <w:r>
              <w:rPr>
                <w:rFonts w:hint="eastAsia" w:ascii="宋体" w:hAnsi="宋体" w:eastAsia="宋体" w:cs="宋体"/>
                <w:color w:val="auto"/>
                <w:kern w:val="0"/>
                <w:sz w:val="21"/>
                <w:szCs w:val="21"/>
                <w:highlight w:val="none"/>
              </w:rPr>
              <w:t>+投标报价得分+服务承诺得分。</w:t>
            </w:r>
          </w:p>
          <w:p>
            <w:pPr>
              <w:widowControl/>
              <w:shd w:val="solid" w:color="FFFFFF" w:fill="auto"/>
              <w:autoSpaceDN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3．本办法计算过程中分值按四舍五入保留三位小数，结果按四舍五入保留两位小数。所有评委的算术平均值即为该投标人的最终得分。</w:t>
            </w:r>
          </w:p>
          <w:p>
            <w:pPr>
              <w:widowControl/>
              <w:shd w:val="solid" w:color="FFFFFF" w:fill="auto"/>
              <w:autoSpaceDN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4．评审时需查看的企业业绩或证书等有关资料，投标人在投标文件附相关扫描件即可，无需提供原件。</w:t>
            </w:r>
          </w:p>
        </w:tc>
      </w:tr>
    </w:tbl>
    <w:p>
      <w:pPr>
        <w:shd w:val="clear" w:fill="auto"/>
        <w:rPr>
          <w:rFonts w:hint="eastAsia" w:ascii="宋体" w:hAnsi="宋体" w:eastAsia="宋体" w:cs="宋体"/>
          <w:b/>
          <w:bCs/>
          <w:sz w:val="21"/>
          <w:szCs w:val="21"/>
          <w:highlight w:val="none"/>
          <w:lang w:eastAsia="zh-CN"/>
        </w:rPr>
      </w:pPr>
      <w:bookmarkStart w:id="316" w:name="_Toc343161600"/>
      <w:r>
        <w:rPr>
          <w:rFonts w:hint="eastAsia" w:ascii="宋体" w:hAnsi="宋体" w:eastAsia="宋体" w:cs="宋体"/>
          <w:b/>
          <w:color w:val="auto"/>
          <w:kern w:val="0"/>
          <w:sz w:val="21"/>
          <w:szCs w:val="21"/>
          <w:highlight w:val="none"/>
        </w:rPr>
        <w:br w:type="page"/>
      </w:r>
    </w:p>
    <w:p>
      <w:pPr>
        <w:keepNext w:val="0"/>
        <w:keepLines w:val="0"/>
        <w:pageBreakBefore w:val="0"/>
        <w:widowControl/>
        <w:shd w:val="clear" w:fill="auto"/>
        <w:kinsoku/>
        <w:wordWrap/>
        <w:overflowPunct/>
        <w:topLinePunct w:val="0"/>
        <w:autoSpaceDE w:val="0"/>
        <w:autoSpaceDN w:val="0"/>
        <w:bidi w:val="0"/>
        <w:adjustRightInd/>
        <w:snapToGrid/>
        <w:spacing w:line="42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 评标方法</w:t>
      </w:r>
      <w:bookmarkStart w:id="317" w:name="_Toc247639891"/>
      <w:bookmarkStart w:id="318" w:name="_Toc286069559"/>
      <w:bookmarkStart w:id="319" w:name="_Toc319307028"/>
    </w:p>
    <w:p>
      <w:pPr>
        <w:keepNext w:val="0"/>
        <w:keepLines w:val="0"/>
        <w:pageBreakBefore w:val="0"/>
        <w:widowControl/>
        <w:shd w:val="clear" w:fill="auto"/>
        <w:kinsoku/>
        <w:wordWrap/>
        <w:overflowPunct/>
        <w:topLinePunct w:val="0"/>
        <w:autoSpaceDN w:val="0"/>
        <w:bidi w:val="0"/>
        <w:adjustRightInd/>
        <w:snapToGrid/>
        <w:spacing w:line="42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本次评标采用综合评估法。评标委员会对满足招标文件实质性要求的投标文件，按照本章规定的评分标准进行打分，并按得分由高到低顺序推荐中标候选人，但投标报价低于其成本的除外。综合评分相等时，以投标报价低的优先；投标报价也相等的，由招标人自行确定。</w:t>
      </w:r>
    </w:p>
    <w:p>
      <w:pPr>
        <w:keepNext w:val="0"/>
        <w:keepLines w:val="0"/>
        <w:pageBreakBefore w:val="0"/>
        <w:widowControl/>
        <w:shd w:val="clear" w:fill="auto"/>
        <w:kinsoku/>
        <w:wordWrap/>
        <w:overflowPunct/>
        <w:topLinePunct w:val="0"/>
        <w:autoSpaceDE w:val="0"/>
        <w:autoSpaceDN w:val="0"/>
        <w:bidi w:val="0"/>
        <w:adjustRightInd/>
        <w:snapToGrid/>
        <w:spacing w:line="420" w:lineRule="exact"/>
        <w:jc w:val="left"/>
        <w:textAlignment w:val="auto"/>
        <w:rPr>
          <w:rFonts w:hint="eastAsia" w:ascii="宋体" w:hAnsi="宋体" w:eastAsia="宋体" w:cs="宋体"/>
          <w:b/>
          <w:color w:val="auto"/>
          <w:kern w:val="0"/>
          <w:sz w:val="21"/>
          <w:szCs w:val="21"/>
          <w:highlight w:val="none"/>
        </w:rPr>
      </w:pPr>
      <w:bookmarkStart w:id="320" w:name="_Toc360629087"/>
      <w:r>
        <w:rPr>
          <w:rFonts w:hint="eastAsia" w:ascii="宋体" w:hAnsi="宋体" w:eastAsia="宋体" w:cs="宋体"/>
          <w:b/>
          <w:color w:val="auto"/>
          <w:kern w:val="0"/>
          <w:sz w:val="21"/>
          <w:szCs w:val="21"/>
          <w:highlight w:val="none"/>
        </w:rPr>
        <w:t>2. 评审标准</w:t>
      </w:r>
      <w:bookmarkEnd w:id="317"/>
      <w:bookmarkEnd w:id="318"/>
      <w:bookmarkEnd w:id="319"/>
      <w:bookmarkEnd w:id="320"/>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2.1 初步评审标准</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2.1.1 形式评审标准：见评标办法前附表。</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 资格评审标准：见评标办法前附表。</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2.1.3 响应性评审标准：见评标办法前附表。</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2.2 分值构成与评分标准</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2.2.1 分值构成</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（1）施工组织设计得分：见评标办法前附表；</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2"/>
          <w:sz w:val="21"/>
          <w:szCs w:val="21"/>
          <w:highlight w:val="none"/>
          <w:lang w:eastAsia="zh-CN"/>
        </w:rPr>
        <w:t>综合标</w:t>
      </w:r>
      <w:r>
        <w:rPr>
          <w:rFonts w:hint="eastAsia" w:ascii="宋体" w:hAnsi="宋体" w:eastAsia="宋体" w:cs="宋体"/>
          <w:color w:val="auto"/>
          <w:kern w:val="2"/>
          <w:sz w:val="21"/>
          <w:szCs w:val="21"/>
          <w:highlight w:val="none"/>
        </w:rPr>
        <w:t>得分</w:t>
      </w:r>
      <w:r>
        <w:rPr>
          <w:rFonts w:hint="eastAsia" w:ascii="宋体" w:hAnsi="宋体" w:eastAsia="宋体" w:cs="宋体"/>
          <w:color w:val="auto"/>
          <w:kern w:val="0"/>
          <w:sz w:val="21"/>
          <w:szCs w:val="21"/>
          <w:highlight w:val="none"/>
        </w:rPr>
        <w:t>：见评标办法前附表；</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（3）投标报价得分：见评标办法前附表；</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2.2.2 评标基准价计算</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评标基准价计算方法：见评标办法前附表。</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2.2.3 投标报价的偏差率计算</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投标报价的偏差率计算公式：见评标办法前附表。</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2.2.4 评分标准</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eastAsia="zh-CN"/>
        </w:rPr>
        <w:t>技术标</w:t>
      </w:r>
      <w:r>
        <w:rPr>
          <w:rFonts w:hint="eastAsia" w:ascii="宋体" w:hAnsi="宋体" w:eastAsia="宋体" w:cs="宋体"/>
          <w:color w:val="auto"/>
          <w:kern w:val="0"/>
          <w:sz w:val="21"/>
          <w:szCs w:val="21"/>
          <w:highlight w:val="none"/>
        </w:rPr>
        <w:t>评分标准：见评标办法前附表；</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2"/>
          <w:sz w:val="21"/>
          <w:szCs w:val="21"/>
          <w:highlight w:val="none"/>
          <w:lang w:eastAsia="zh-CN"/>
        </w:rPr>
        <w:t>综合标</w:t>
      </w:r>
      <w:r>
        <w:rPr>
          <w:rFonts w:hint="eastAsia" w:ascii="宋体" w:hAnsi="宋体" w:eastAsia="宋体" w:cs="宋体"/>
          <w:color w:val="auto"/>
          <w:kern w:val="0"/>
          <w:sz w:val="21"/>
          <w:szCs w:val="21"/>
          <w:highlight w:val="none"/>
        </w:rPr>
        <w:t>评分标准：见评标办法前附表；</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（3）投标报价评分标准：见评标办法前附表；</w:t>
      </w:r>
    </w:p>
    <w:p>
      <w:pPr>
        <w:keepNext w:val="0"/>
        <w:keepLines w:val="0"/>
        <w:pageBreakBefore w:val="0"/>
        <w:widowControl/>
        <w:shd w:val="clear" w:fill="auto"/>
        <w:kinsoku/>
        <w:wordWrap/>
        <w:overflowPunct/>
        <w:topLinePunct w:val="0"/>
        <w:autoSpaceDE w:val="0"/>
        <w:autoSpaceDN w:val="0"/>
        <w:bidi w:val="0"/>
        <w:adjustRightInd/>
        <w:snapToGrid/>
        <w:spacing w:line="420" w:lineRule="exact"/>
        <w:jc w:val="left"/>
        <w:textAlignment w:val="auto"/>
        <w:rPr>
          <w:rFonts w:hint="eastAsia" w:ascii="宋体" w:hAnsi="宋体" w:eastAsia="宋体" w:cs="宋体"/>
          <w:b/>
          <w:color w:val="auto"/>
          <w:kern w:val="0"/>
          <w:sz w:val="21"/>
          <w:szCs w:val="21"/>
          <w:highlight w:val="none"/>
        </w:rPr>
      </w:pPr>
      <w:bookmarkStart w:id="321" w:name="_Toc279505661"/>
      <w:bookmarkStart w:id="322" w:name="_Toc360629088"/>
      <w:bookmarkStart w:id="323" w:name="_Toc247639894"/>
      <w:bookmarkStart w:id="324" w:name="_Toc319307031"/>
      <w:bookmarkStart w:id="325" w:name="_Toc286069562"/>
      <w:r>
        <w:rPr>
          <w:rFonts w:hint="eastAsia" w:ascii="宋体" w:hAnsi="宋体" w:eastAsia="宋体" w:cs="宋体"/>
          <w:b/>
          <w:color w:val="auto"/>
          <w:kern w:val="0"/>
          <w:sz w:val="21"/>
          <w:szCs w:val="21"/>
          <w:highlight w:val="none"/>
        </w:rPr>
        <w:t>3. 评标程序</w:t>
      </w:r>
      <w:bookmarkEnd w:id="321"/>
      <w:bookmarkEnd w:id="322"/>
      <w:bookmarkEnd w:id="323"/>
      <w:bookmarkEnd w:id="324"/>
      <w:bookmarkEnd w:id="325"/>
    </w:p>
    <w:p>
      <w:pPr>
        <w:keepNext w:val="0"/>
        <w:keepLines w:val="0"/>
        <w:pageBreakBefore w:val="0"/>
        <w:widowControl/>
        <w:shd w:val="clear" w:fill="auto"/>
        <w:kinsoku/>
        <w:wordWrap/>
        <w:overflowPunct/>
        <w:topLinePunct w:val="0"/>
        <w:autoSpaceDE w:val="0"/>
        <w:autoSpaceDN w:val="0"/>
        <w:bidi w:val="0"/>
        <w:adjustRightInd/>
        <w:snapToGrid/>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 初步评审</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3.1.1 评标委员会依据本章第2.1.1 项、第2.1.3 项规定的评审标准对投标文件进行初步评审。有一项不符合评审标准的，将否决其投标。</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3.1.2 投标人有以下情形之一的，将被否决其投标：</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（1）第二章“投标人须知”第1.4.3 项规定的任何一种情形的；</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（2）串通投标或弄虚作假或有其他违法行为的；</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（3）不按评标委员会要求澄清、说明或补正的；</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（4）投标报价超过最高投标限价的；</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3.1.3 投标报价有算术错误的，评标委员会按以下原则对投标报价进行修正，修正的价格经投标人书面确认后具有约束力。投标人不接受修正价格的，其投标作无效标书处理，不再进入评标程序进行评审。</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（1）投标文件中的大写金额与小写金额不一致的，以大写金额为准；</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（2）总价金额与依据单价计算出的结果不一致的，以单价金额为准修正总价，但单价金额小数点有明显错误的除外。</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3.2 详细评审</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3.2.1 评标委员会按本章第2.2 款规定的量化因素和分值进行打分，并计算出综合评估得分。</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（1）按本章第2.2.4（1）目规定的评审因素和分值对</w:t>
      </w:r>
      <w:r>
        <w:rPr>
          <w:rFonts w:hint="eastAsia" w:ascii="宋体" w:hAnsi="宋体" w:cs="宋体"/>
          <w:color w:val="auto"/>
          <w:kern w:val="0"/>
          <w:sz w:val="21"/>
          <w:szCs w:val="21"/>
          <w:highlight w:val="none"/>
          <w:lang w:eastAsia="zh-CN"/>
        </w:rPr>
        <w:t>技术标</w:t>
      </w:r>
      <w:r>
        <w:rPr>
          <w:rFonts w:hint="eastAsia" w:ascii="宋体" w:hAnsi="宋体" w:eastAsia="宋体" w:cs="宋体"/>
          <w:color w:val="auto"/>
          <w:kern w:val="0"/>
          <w:sz w:val="21"/>
          <w:szCs w:val="21"/>
          <w:highlight w:val="none"/>
        </w:rPr>
        <w:t>计算出得分A；</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（2）按本章第2.2.4（2）目规定的评审因素和分值对</w:t>
      </w:r>
      <w:r>
        <w:rPr>
          <w:rFonts w:hint="eastAsia" w:ascii="宋体" w:hAnsi="宋体" w:cs="宋体"/>
          <w:color w:val="auto"/>
          <w:kern w:val="2"/>
          <w:sz w:val="21"/>
          <w:szCs w:val="21"/>
          <w:highlight w:val="none"/>
          <w:lang w:eastAsia="zh-CN"/>
        </w:rPr>
        <w:t>综合标</w:t>
      </w:r>
      <w:r>
        <w:rPr>
          <w:rFonts w:hint="eastAsia" w:ascii="宋体" w:hAnsi="宋体" w:eastAsia="宋体" w:cs="宋体"/>
          <w:color w:val="auto"/>
          <w:kern w:val="0"/>
          <w:sz w:val="21"/>
          <w:szCs w:val="21"/>
          <w:highlight w:val="none"/>
        </w:rPr>
        <w:t>计算出得分B；</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（3）按本章第2.2.4（3）目规定的评审因素和分值对投标报价计算出得分C；</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3.2.2 评分分值计算保留小数点后两位，小数点后第三位“四舍五入”。</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3.2.3 投标人得分=A+B+C。</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3.2.4 评标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竞标，将被否决其投标。</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3.3 投标文件的澄清和补正</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3.3.2 澄清、说明和补正不得改变投标文件的实质性内容（算术性错误修正的除外）。投标人的书面澄清、说明和补正属于投标文件的组成部分。</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3.3.3 评标委员会对投标人提交的澄清、说明或补正有疑问的，可以要求投标人进一步澄清、说明或补正，直至满足评标委员会的要求。</w:t>
      </w:r>
    </w:p>
    <w:p>
      <w:pPr>
        <w:keepNext w:val="0"/>
        <w:keepLines w:val="0"/>
        <w:pageBreakBefore w:val="0"/>
        <w:widowControl/>
        <w:shd w:val="clear" w:fill="auto"/>
        <w:kinsoku/>
        <w:wordWrap/>
        <w:overflowPunct/>
        <w:topLinePunct w:val="0"/>
        <w:autoSpaceDN w:val="0"/>
        <w:bidi w:val="0"/>
        <w:adjustRightInd/>
        <w:snapToGrid/>
        <w:spacing w:line="420" w:lineRule="exact"/>
        <w:ind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3.4 评标结果</w:t>
      </w:r>
    </w:p>
    <w:p>
      <w:pPr>
        <w:shd w:val="clear" w:fill="auto"/>
        <w:spacing w:line="360" w:lineRule="auto"/>
        <w:ind w:firstLine="420"/>
        <w:contextualSpacing/>
        <w:rPr>
          <w:rFonts w:ascii="宋体" w:hAnsi="宋体" w:cs="宋体"/>
          <w:kern w:val="0"/>
          <w:szCs w:val="21"/>
          <w:highlight w:val="none"/>
        </w:rPr>
      </w:pPr>
      <w:r>
        <w:rPr>
          <w:rFonts w:hint="eastAsia" w:ascii="宋体" w:hAnsi="宋体" w:cs="宋体"/>
          <w:szCs w:val="21"/>
          <w:highlight w:val="none"/>
        </w:rPr>
        <w:t>3.4.1除第二章“投标人须知”前附表授权直接确定中标人外</w:t>
      </w:r>
      <w:r>
        <w:rPr>
          <w:rFonts w:hint="eastAsia" w:ascii="宋体" w:hAnsi="宋体"/>
          <w:szCs w:val="21"/>
          <w:highlight w:val="none"/>
        </w:rPr>
        <w:t>，评标委员会按照得分由高到低的顺序推荐</w:t>
      </w:r>
      <w:r>
        <w:rPr>
          <w:rFonts w:hint="eastAsia" w:ascii="宋体" w:hAnsi="宋体"/>
          <w:szCs w:val="24"/>
          <w:highlight w:val="none"/>
        </w:rPr>
        <w:t>不标明排序的</w:t>
      </w:r>
      <w:r>
        <w:rPr>
          <w:rFonts w:hint="eastAsia" w:ascii="宋体" w:hAnsi="宋体"/>
          <w:szCs w:val="21"/>
          <w:highlight w:val="none"/>
        </w:rPr>
        <w:t>中标候选人</w:t>
      </w:r>
      <w:r>
        <w:rPr>
          <w:rFonts w:hint="eastAsia" w:ascii="宋体" w:hAnsi="宋体" w:cs="宋体"/>
          <w:kern w:val="0"/>
          <w:szCs w:val="21"/>
          <w:highlight w:val="none"/>
        </w:rPr>
        <w:t>，具体如下：</w:t>
      </w:r>
    </w:p>
    <w:p>
      <w:pPr>
        <w:shd w:val="clear" w:fill="auto"/>
        <w:spacing w:line="360" w:lineRule="auto"/>
        <w:ind w:firstLine="420" w:firstLineChars="200"/>
        <w:contextualSpacing/>
        <w:rPr>
          <w:rFonts w:ascii="宋体" w:hAnsi="宋体"/>
          <w:szCs w:val="21"/>
          <w:highlight w:val="none"/>
        </w:rPr>
      </w:pPr>
      <w:r>
        <w:rPr>
          <w:rFonts w:hint="eastAsia" w:ascii="宋体" w:hAnsi="宋体"/>
          <w:szCs w:val="21"/>
          <w:highlight w:val="none"/>
        </w:rPr>
        <w:t>当通过初步评审的单位≥</w:t>
      </w:r>
      <w:r>
        <w:rPr>
          <w:rFonts w:ascii="宋体" w:hAnsi="宋体"/>
          <w:szCs w:val="21"/>
          <w:highlight w:val="none"/>
        </w:rPr>
        <w:t>5家时，推荐5名中标候选人且不标明排列顺序；当通过初步评审的单位≥3家且＜5家时，全部推为中标候选人且不标明排列顺序；当通过初步评审的单位＜3家时，由评标委员会判断具有竞争性后推荐2名中标候选人且不标明排列顺序。</w:t>
      </w:r>
    </w:p>
    <w:p>
      <w:pPr>
        <w:shd w:val="clear" w:fill="auto"/>
        <w:spacing w:line="360" w:lineRule="auto"/>
        <w:ind w:firstLine="420"/>
        <w:contextualSpacing/>
        <w:rPr>
          <w:rFonts w:ascii="宋体" w:hAnsi="宋体"/>
          <w:szCs w:val="21"/>
          <w:highlight w:val="none"/>
        </w:rPr>
      </w:pPr>
      <w:r>
        <w:rPr>
          <w:rFonts w:hint="eastAsia" w:ascii="宋体" w:hAnsi="宋体" w:cs="宋体"/>
          <w:szCs w:val="21"/>
          <w:highlight w:val="none"/>
        </w:rPr>
        <w:t>3.4.2 评标委员会完成评标后，应当向招标人提交书面评标报告。</w:t>
      </w:r>
      <w:r>
        <w:rPr>
          <w:rFonts w:hint="eastAsia" w:ascii="宋体" w:hAnsi="宋体"/>
          <w:szCs w:val="21"/>
          <w:highlight w:val="none"/>
        </w:rPr>
        <w:t>评标报告需明确记录中标候选人的优势、缺点、风险等评审情况和推荐理由，并对技术、质量、安全、工期的控制能力等提出技术咨询建议。</w:t>
      </w:r>
    </w:p>
    <w:p>
      <w:pPr>
        <w:shd w:val="clear" w:fill="auto"/>
        <w:rPr>
          <w:rFonts w:hint="eastAsia" w:ascii="宋体" w:hAnsi="宋体" w:eastAsia="宋体" w:cs="宋体"/>
          <w:szCs w:val="21"/>
          <w:highlight w:val="none"/>
        </w:rPr>
      </w:pPr>
      <w:r>
        <w:rPr>
          <w:rFonts w:hint="eastAsia" w:ascii="宋体" w:hAnsi="宋体" w:eastAsia="宋体" w:cs="宋体"/>
          <w:szCs w:val="21"/>
          <w:highlight w:val="none"/>
        </w:rPr>
        <w:br w:type="page"/>
      </w:r>
    </w:p>
    <w:p>
      <w:pPr>
        <w:pStyle w:val="2"/>
        <w:shd w:val="clear" w:fill="auto"/>
        <w:spacing w:before="0" w:after="0" w:line="360" w:lineRule="auto"/>
        <w:jc w:val="center"/>
        <w:rPr>
          <w:rFonts w:hint="eastAsia"/>
          <w:color w:val="000000"/>
          <w:sz w:val="32"/>
          <w:szCs w:val="32"/>
          <w:highlight w:val="none"/>
        </w:rPr>
      </w:pPr>
      <w:bookmarkStart w:id="326" w:name="_Toc5394"/>
      <w:bookmarkStart w:id="327" w:name="_Toc4329"/>
      <w:bookmarkStart w:id="328" w:name="_Toc25152"/>
      <w:bookmarkStart w:id="329" w:name="_Toc26381"/>
      <w:bookmarkStart w:id="330" w:name="_Toc31614"/>
      <w:bookmarkStart w:id="331" w:name="_Toc798"/>
      <w:bookmarkStart w:id="332" w:name="_Toc6096"/>
      <w:bookmarkStart w:id="333" w:name="_Toc17026"/>
      <w:r>
        <w:rPr>
          <w:rFonts w:hint="eastAsia"/>
          <w:color w:val="000000"/>
          <w:sz w:val="32"/>
          <w:szCs w:val="32"/>
          <w:highlight w:val="none"/>
          <w:lang w:eastAsia="zh-CN"/>
        </w:rPr>
        <w:t>第四章</w:t>
      </w:r>
      <w:r>
        <w:rPr>
          <w:rFonts w:hint="eastAsia"/>
          <w:color w:val="000000"/>
          <w:sz w:val="32"/>
          <w:szCs w:val="32"/>
          <w:highlight w:val="none"/>
          <w:lang w:val="en-US" w:eastAsia="zh-CN"/>
        </w:rPr>
        <w:t xml:space="preserve"> </w:t>
      </w:r>
      <w:r>
        <w:rPr>
          <w:rFonts w:hint="eastAsia"/>
          <w:color w:val="000000"/>
          <w:sz w:val="32"/>
          <w:szCs w:val="32"/>
          <w:highlight w:val="none"/>
        </w:rPr>
        <w:t>定标办法</w:t>
      </w:r>
      <w:bookmarkEnd w:id="326"/>
      <w:bookmarkEnd w:id="327"/>
      <w:bookmarkEnd w:id="328"/>
      <w:bookmarkEnd w:id="329"/>
      <w:bookmarkEnd w:id="330"/>
      <w:bookmarkEnd w:id="331"/>
      <w:bookmarkEnd w:id="332"/>
      <w:bookmarkEnd w:id="333"/>
    </w:p>
    <w:bookmarkEnd w:id="316"/>
    <w:p>
      <w:pPr>
        <w:shd w:val="clear" w:fill="auto"/>
        <w:spacing w:line="360" w:lineRule="auto"/>
        <w:contextualSpacing/>
        <w:rPr>
          <w:rFonts w:ascii="宋体" w:hAnsi="宋体" w:cs="仿宋"/>
          <w:b/>
          <w:bCs/>
          <w:szCs w:val="21"/>
          <w:highlight w:val="none"/>
        </w:rPr>
      </w:pPr>
      <w:r>
        <w:rPr>
          <w:rFonts w:ascii="宋体" w:hAnsi="宋体" w:cs="仿宋"/>
          <w:b/>
          <w:bCs/>
          <w:szCs w:val="21"/>
          <w:highlight w:val="none"/>
        </w:rPr>
        <w:t>一、定标依据</w:t>
      </w:r>
    </w:p>
    <w:p>
      <w:pPr>
        <w:shd w:val="clear" w:fill="auto"/>
        <w:spacing w:line="360" w:lineRule="auto"/>
        <w:ind w:firstLine="420" w:firstLineChars="200"/>
        <w:contextualSpacing/>
        <w:rPr>
          <w:rFonts w:ascii="宋体" w:hAnsi="宋体" w:cs="仿宋"/>
          <w:szCs w:val="21"/>
          <w:highlight w:val="none"/>
        </w:rPr>
      </w:pPr>
      <w:r>
        <w:rPr>
          <w:rFonts w:ascii="宋体" w:hAnsi="宋体" w:cs="仿宋"/>
          <w:szCs w:val="21"/>
          <w:highlight w:val="none"/>
        </w:rPr>
        <w:t>1.</w:t>
      </w:r>
      <w:r>
        <w:rPr>
          <w:rFonts w:hint="eastAsia" w:ascii="宋体" w:hAnsi="宋体"/>
          <w:highlight w:val="none"/>
        </w:rPr>
        <w:t xml:space="preserve"> 郑州航空港经济综合实验区会展片区绿地整治工程</w:t>
      </w:r>
      <w:r>
        <w:rPr>
          <w:rFonts w:hint="eastAsia" w:ascii="宋体" w:hAnsi="宋体" w:cs="仿宋"/>
          <w:szCs w:val="21"/>
          <w:highlight w:val="none"/>
        </w:rPr>
        <w:t>建设项目</w:t>
      </w:r>
      <w:r>
        <w:rPr>
          <w:rFonts w:ascii="宋体" w:hAnsi="宋体" w:cs="仿宋"/>
          <w:szCs w:val="21"/>
          <w:highlight w:val="none"/>
        </w:rPr>
        <w:t>招标文件；</w:t>
      </w:r>
    </w:p>
    <w:p>
      <w:pPr>
        <w:shd w:val="clear" w:fill="auto"/>
        <w:spacing w:line="360" w:lineRule="auto"/>
        <w:ind w:firstLine="420" w:firstLineChars="200"/>
        <w:contextualSpacing/>
        <w:rPr>
          <w:rFonts w:ascii="宋体" w:hAnsi="宋体" w:cs="仿宋"/>
          <w:szCs w:val="21"/>
          <w:highlight w:val="none"/>
        </w:rPr>
      </w:pPr>
      <w:r>
        <w:rPr>
          <w:rFonts w:ascii="宋体" w:hAnsi="宋体" w:cs="仿宋"/>
          <w:szCs w:val="21"/>
          <w:highlight w:val="none"/>
        </w:rPr>
        <w:t>2.评标委员会推荐的</w:t>
      </w:r>
      <w:r>
        <w:rPr>
          <w:rFonts w:hint="eastAsia" w:ascii="宋体" w:hAnsi="宋体" w:cs="仿宋"/>
          <w:szCs w:val="21"/>
          <w:highlight w:val="none"/>
        </w:rPr>
        <w:t>不标明排列顺序的</w:t>
      </w:r>
      <w:r>
        <w:rPr>
          <w:rFonts w:ascii="宋体" w:hAnsi="宋体" w:cs="仿宋"/>
          <w:szCs w:val="21"/>
          <w:highlight w:val="none"/>
        </w:rPr>
        <w:t>中标候选人名单；</w:t>
      </w:r>
    </w:p>
    <w:p>
      <w:pPr>
        <w:shd w:val="clear" w:fill="auto"/>
        <w:spacing w:line="360" w:lineRule="auto"/>
        <w:ind w:firstLine="420" w:firstLineChars="200"/>
        <w:contextualSpacing/>
        <w:rPr>
          <w:rFonts w:ascii="宋体" w:hAnsi="宋体" w:cs="仿宋"/>
          <w:szCs w:val="21"/>
          <w:highlight w:val="none"/>
        </w:rPr>
      </w:pPr>
      <w:r>
        <w:rPr>
          <w:rFonts w:ascii="宋体" w:hAnsi="宋体" w:cs="仿宋"/>
          <w:szCs w:val="21"/>
          <w:highlight w:val="none"/>
        </w:rPr>
        <w:t>3.招标投标全过程资料；</w:t>
      </w:r>
    </w:p>
    <w:p>
      <w:pPr>
        <w:shd w:val="clear" w:fill="auto"/>
        <w:spacing w:line="360" w:lineRule="auto"/>
        <w:ind w:firstLine="420" w:firstLineChars="200"/>
        <w:contextualSpacing/>
        <w:rPr>
          <w:rFonts w:ascii="宋体" w:hAnsi="宋体" w:cs="仿宋"/>
          <w:szCs w:val="21"/>
          <w:highlight w:val="none"/>
        </w:rPr>
      </w:pPr>
      <w:r>
        <w:rPr>
          <w:rFonts w:ascii="宋体" w:hAnsi="宋体" w:cs="仿宋"/>
          <w:szCs w:val="21"/>
          <w:highlight w:val="none"/>
        </w:rPr>
        <w:t>4.</w:t>
      </w:r>
      <w:r>
        <w:rPr>
          <w:rFonts w:hint="eastAsia" w:ascii="宋体" w:hAnsi="宋体" w:cs="仿宋"/>
          <w:szCs w:val="21"/>
          <w:highlight w:val="none"/>
        </w:rPr>
        <w:t>《河南省住房和城乡建设厅关于同意郑州航空港经济综合实验区开展房屋建筑和市政基础设施工程招标投标领域改革试点的批复》中附件《郑州航空港经济综合实验区房屋建筑和市政基础设施工程招标投标领域改革试点实施方案》以及《郑州航空港经济综合实验区党政办公室关于印发郑州航空港经济综合实验区房屋建筑和市政基础设施工程招标投标“评定分离”实施意见</w:t>
      </w:r>
      <w:r>
        <w:rPr>
          <w:rFonts w:ascii="宋体" w:hAnsi="宋体" w:cs="仿宋"/>
          <w:szCs w:val="21"/>
          <w:highlight w:val="none"/>
        </w:rPr>
        <w:t xml:space="preserve"> (试行)和政府采购评标定标分离管理办法(试行)的通知》（郑港办[2023]81号文）</w:t>
      </w:r>
      <w:r>
        <w:rPr>
          <w:rFonts w:hint="eastAsia" w:ascii="宋体" w:hAnsi="宋体" w:cs="仿宋"/>
          <w:szCs w:val="21"/>
          <w:highlight w:val="none"/>
        </w:rPr>
        <w:t>、</w:t>
      </w:r>
      <w:r>
        <w:rPr>
          <w:rFonts w:hint="eastAsia" w:ascii="宋体" w:hAnsi="宋体" w:cs="宋体"/>
          <w:szCs w:val="21"/>
          <w:highlight w:val="none"/>
        </w:rPr>
        <w:t>《郑州航空港经济综合实验区综合行政执法局（城市管理局）关于印发招标投标“评定分离”制度（试行）的通知》（郑港综执[2023]</w:t>
      </w:r>
      <w:r>
        <w:rPr>
          <w:rFonts w:ascii="宋体" w:hAnsi="宋体" w:cs="宋体"/>
          <w:szCs w:val="21"/>
          <w:highlight w:val="none"/>
        </w:rPr>
        <w:t>60</w:t>
      </w:r>
      <w:r>
        <w:rPr>
          <w:rFonts w:hint="eastAsia" w:ascii="宋体" w:hAnsi="宋体" w:cs="宋体"/>
          <w:szCs w:val="21"/>
          <w:highlight w:val="none"/>
        </w:rPr>
        <w:t>号）（郑州航空港经济综合实验区综合行政执法局（城市管理局）牵头主导的市政基础设施工程、水利工程等项目，应当采用“评定分离”）</w:t>
      </w:r>
      <w:r>
        <w:rPr>
          <w:rFonts w:hint="eastAsia" w:ascii="宋体" w:hAnsi="宋体" w:cs="仿宋"/>
          <w:szCs w:val="21"/>
          <w:highlight w:val="none"/>
        </w:rPr>
        <w:t>等</w:t>
      </w:r>
      <w:r>
        <w:rPr>
          <w:rFonts w:ascii="宋体" w:hAnsi="宋体" w:cs="仿宋"/>
          <w:szCs w:val="21"/>
          <w:highlight w:val="none"/>
        </w:rPr>
        <w:t>有关法律法规和相关制度。</w:t>
      </w:r>
    </w:p>
    <w:p>
      <w:pPr>
        <w:shd w:val="clear" w:fill="auto"/>
        <w:spacing w:line="360" w:lineRule="auto"/>
        <w:contextualSpacing/>
        <w:rPr>
          <w:rFonts w:ascii="宋体" w:hAnsi="宋体" w:cs="仿宋"/>
          <w:b/>
          <w:bCs/>
          <w:szCs w:val="21"/>
          <w:highlight w:val="none"/>
        </w:rPr>
      </w:pPr>
      <w:r>
        <w:rPr>
          <w:rFonts w:ascii="宋体" w:hAnsi="宋体" w:cs="仿宋"/>
          <w:b/>
          <w:bCs/>
          <w:szCs w:val="21"/>
          <w:highlight w:val="none"/>
        </w:rPr>
        <w:t>二、定标原则</w:t>
      </w:r>
    </w:p>
    <w:p>
      <w:pPr>
        <w:shd w:val="clear" w:fill="auto"/>
        <w:spacing w:line="360" w:lineRule="auto"/>
        <w:ind w:firstLine="420" w:firstLineChars="200"/>
        <w:contextualSpacing/>
        <w:rPr>
          <w:rFonts w:ascii="宋体" w:hAnsi="宋体" w:cs="仿宋"/>
          <w:szCs w:val="21"/>
          <w:highlight w:val="none"/>
        </w:rPr>
      </w:pPr>
      <w:r>
        <w:rPr>
          <w:rFonts w:hint="eastAsia" w:ascii="宋体" w:hAnsi="宋体" w:cs="仿宋"/>
          <w:szCs w:val="21"/>
          <w:highlight w:val="none"/>
        </w:rPr>
        <w:t>定标</w:t>
      </w:r>
      <w:r>
        <w:rPr>
          <w:rFonts w:ascii="宋体" w:hAnsi="宋体" w:cs="仿宋"/>
          <w:szCs w:val="21"/>
          <w:highlight w:val="none"/>
        </w:rPr>
        <w:t>应当遵循公开、公平、公正和择优的原则</w:t>
      </w:r>
      <w:r>
        <w:rPr>
          <w:rFonts w:hint="eastAsia" w:ascii="宋体" w:hAnsi="宋体" w:cs="仿宋"/>
          <w:szCs w:val="21"/>
          <w:highlight w:val="none"/>
        </w:rPr>
        <w:t>。</w:t>
      </w:r>
    </w:p>
    <w:p>
      <w:pPr>
        <w:shd w:val="clear" w:fill="auto"/>
        <w:spacing w:line="360" w:lineRule="auto"/>
        <w:contextualSpacing/>
        <w:rPr>
          <w:rFonts w:ascii="宋体" w:hAnsi="宋体" w:cs="仿宋"/>
          <w:b/>
          <w:bCs/>
          <w:szCs w:val="21"/>
          <w:highlight w:val="none"/>
        </w:rPr>
      </w:pPr>
      <w:r>
        <w:rPr>
          <w:rFonts w:hint="eastAsia" w:ascii="宋体" w:hAnsi="宋体" w:cs="仿宋"/>
          <w:b/>
          <w:bCs/>
          <w:szCs w:val="21"/>
          <w:highlight w:val="none"/>
        </w:rPr>
        <w:t>三、定标程序</w:t>
      </w:r>
    </w:p>
    <w:p>
      <w:pPr>
        <w:shd w:val="clear" w:fill="auto"/>
        <w:spacing w:line="360" w:lineRule="auto"/>
        <w:ind w:firstLine="420" w:firstLineChars="200"/>
        <w:contextualSpacing/>
        <w:rPr>
          <w:rFonts w:ascii="宋体" w:hAnsi="宋体" w:cs="仿宋"/>
          <w:szCs w:val="21"/>
          <w:highlight w:val="none"/>
        </w:rPr>
      </w:pPr>
      <w:r>
        <w:rPr>
          <w:rFonts w:hint="eastAsia" w:ascii="宋体" w:hAnsi="宋体" w:cs="仿宋"/>
          <w:szCs w:val="21"/>
          <w:highlight w:val="none"/>
        </w:rPr>
        <w:t>招标人一般应在中标候选人确定后</w:t>
      </w:r>
      <w:r>
        <w:rPr>
          <w:rFonts w:ascii="宋体" w:hAnsi="宋体" w:cs="仿宋"/>
          <w:szCs w:val="21"/>
          <w:highlight w:val="none"/>
        </w:rPr>
        <w:t>5日内召开定标会议。</w:t>
      </w:r>
      <w:r>
        <w:rPr>
          <w:rFonts w:hint="eastAsia" w:ascii="宋体" w:hAnsi="宋体" w:cs="仿宋"/>
          <w:szCs w:val="21"/>
          <w:highlight w:val="none"/>
        </w:rPr>
        <w:t>招标人不能按时定标的，及时告知各投标人延迟原因及新的定标时间。</w:t>
      </w:r>
      <w:r>
        <w:rPr>
          <w:rFonts w:ascii="宋体" w:hAnsi="宋体" w:cs="仿宋"/>
          <w:szCs w:val="21"/>
          <w:highlight w:val="none"/>
        </w:rPr>
        <w:t>定标会议地点设在</w:t>
      </w:r>
      <w:r>
        <w:rPr>
          <w:rFonts w:hint="eastAsia" w:ascii="宋体" w:hAnsi="宋体" w:cs="仿宋"/>
          <w:szCs w:val="21"/>
          <w:highlight w:val="none"/>
        </w:rPr>
        <w:t>郑州航空港经济综合实验区（郑州新郑综合保税区）公共资源交易中心</w:t>
      </w:r>
      <w:r>
        <w:rPr>
          <w:rFonts w:ascii="宋体" w:hAnsi="宋体" w:cs="仿宋"/>
          <w:szCs w:val="21"/>
          <w:highlight w:val="none"/>
        </w:rPr>
        <w:t>，按以下程序进行</w:t>
      </w:r>
      <w:r>
        <w:rPr>
          <w:rFonts w:hint="eastAsia" w:ascii="宋体" w:hAnsi="宋体" w:cs="仿宋"/>
          <w:szCs w:val="21"/>
          <w:highlight w:val="none"/>
        </w:rPr>
        <w:t>：</w:t>
      </w:r>
    </w:p>
    <w:p>
      <w:pPr>
        <w:shd w:val="clear" w:fill="auto"/>
        <w:spacing w:line="360" w:lineRule="auto"/>
        <w:ind w:firstLine="420" w:firstLineChars="200"/>
        <w:contextualSpacing/>
        <w:rPr>
          <w:rFonts w:ascii="宋体" w:hAnsi="宋体" w:cs="仿宋"/>
          <w:szCs w:val="21"/>
          <w:highlight w:val="none"/>
        </w:rPr>
      </w:pPr>
      <w:r>
        <w:rPr>
          <w:rFonts w:ascii="宋体" w:hAnsi="宋体" w:cs="仿宋"/>
          <w:szCs w:val="21"/>
          <w:highlight w:val="none"/>
        </w:rPr>
        <w:t>(一) 宣布定标委员会名单、定标程序及定标纪律，定标委员会成员签署承诺书。</w:t>
      </w:r>
    </w:p>
    <w:p>
      <w:pPr>
        <w:shd w:val="clear" w:fill="auto"/>
        <w:spacing w:line="360" w:lineRule="auto"/>
        <w:ind w:firstLine="420" w:firstLineChars="200"/>
        <w:contextualSpacing/>
        <w:rPr>
          <w:rFonts w:ascii="宋体" w:hAnsi="宋体" w:cs="仿宋"/>
          <w:szCs w:val="21"/>
          <w:highlight w:val="none"/>
        </w:rPr>
      </w:pPr>
      <w:r>
        <w:rPr>
          <w:rFonts w:ascii="宋体" w:hAnsi="宋体" w:cs="仿宋"/>
          <w:szCs w:val="21"/>
          <w:highlight w:val="none"/>
        </w:rPr>
        <w:t>(二)介绍项目情况、招标情况、开评标情况并提供相应文件和资料。</w:t>
      </w:r>
    </w:p>
    <w:p>
      <w:pPr>
        <w:shd w:val="clear" w:fill="auto"/>
        <w:spacing w:line="360" w:lineRule="auto"/>
        <w:ind w:firstLine="420" w:firstLineChars="200"/>
        <w:contextualSpacing/>
        <w:rPr>
          <w:rFonts w:ascii="宋体" w:hAnsi="宋体" w:cs="仿宋"/>
          <w:szCs w:val="21"/>
          <w:highlight w:val="none"/>
        </w:rPr>
      </w:pPr>
      <w:r>
        <w:rPr>
          <w:rFonts w:ascii="宋体" w:hAnsi="宋体" w:cs="仿宋"/>
          <w:szCs w:val="21"/>
          <w:highlight w:val="none"/>
        </w:rPr>
        <w:t>(三)汇报中标候选人信用信息、受贿行贿情况、履约能力等内容，以及招标人认为需要汇报的其他内容。</w:t>
      </w:r>
    </w:p>
    <w:p>
      <w:pPr>
        <w:shd w:val="clear" w:fill="auto"/>
        <w:spacing w:line="360" w:lineRule="auto"/>
        <w:ind w:firstLine="420" w:firstLineChars="200"/>
        <w:contextualSpacing/>
        <w:rPr>
          <w:rFonts w:ascii="宋体" w:hAnsi="宋体" w:cs="仿宋"/>
          <w:szCs w:val="21"/>
          <w:highlight w:val="none"/>
        </w:rPr>
      </w:pPr>
      <w:r>
        <w:rPr>
          <w:rFonts w:hint="eastAsia" w:ascii="宋体" w:hAnsi="宋体" w:cs="仿宋"/>
          <w:szCs w:val="21"/>
          <w:highlight w:val="none"/>
        </w:rPr>
        <w:t>（四）招标文件中如明确需要对中标候选人进行考察、质询的，需汇报考察、质询报告。</w:t>
      </w:r>
    </w:p>
    <w:p>
      <w:pPr>
        <w:shd w:val="clear" w:fill="auto"/>
        <w:spacing w:line="360" w:lineRule="auto"/>
        <w:ind w:firstLine="420" w:firstLineChars="200"/>
        <w:contextualSpacing/>
        <w:rPr>
          <w:rFonts w:ascii="宋体" w:hAnsi="宋体" w:cs="仿宋"/>
          <w:szCs w:val="21"/>
          <w:highlight w:val="none"/>
        </w:rPr>
      </w:pPr>
      <w:r>
        <w:rPr>
          <w:rFonts w:ascii="宋体" w:hAnsi="宋体" w:cs="仿宋"/>
          <w:szCs w:val="21"/>
          <w:highlight w:val="none"/>
        </w:rPr>
        <w:t>(五)定标委员会应当按照充分竞争的原则，采用招标文件规定的定标方法，在评标委员会推荐的中标候选人中择优确定中标人并形成定标书面报告。</w:t>
      </w:r>
    </w:p>
    <w:p>
      <w:pPr>
        <w:shd w:val="clear" w:fill="auto"/>
        <w:spacing w:line="360" w:lineRule="auto"/>
        <w:ind w:firstLine="420" w:firstLineChars="200"/>
        <w:contextualSpacing/>
        <w:rPr>
          <w:rFonts w:ascii="宋体" w:hAnsi="宋体" w:cs="仿宋"/>
          <w:szCs w:val="21"/>
          <w:highlight w:val="none"/>
        </w:rPr>
      </w:pPr>
      <w:r>
        <w:rPr>
          <w:rFonts w:hint="eastAsia" w:ascii="宋体" w:hAnsi="宋体" w:cs="仿宋"/>
          <w:szCs w:val="21"/>
          <w:highlight w:val="none"/>
        </w:rPr>
        <w:t>定标委员会成员应当客观、公正地履行职责，遵守职业道德，保守秘密，对所提出的定标意见承担责任。对定标结果有不同意见的定标委员会成员，应当以书面形式说明其不同意见和理由，定标报告应当注明该不同意见。定标委员会成员拒绝在定标报告上签字又不书面说明其不同意见和理由的，视为同意定标结果。</w:t>
      </w:r>
    </w:p>
    <w:p>
      <w:pPr>
        <w:shd w:val="clear" w:fill="auto"/>
        <w:spacing w:line="360" w:lineRule="auto"/>
        <w:contextualSpacing/>
        <w:rPr>
          <w:rFonts w:ascii="宋体" w:hAnsi="宋体" w:cs="仿宋"/>
          <w:b/>
          <w:bCs/>
          <w:szCs w:val="21"/>
          <w:highlight w:val="none"/>
        </w:rPr>
      </w:pPr>
      <w:r>
        <w:rPr>
          <w:rFonts w:hint="eastAsia" w:ascii="宋体" w:hAnsi="宋体" w:cs="仿宋"/>
          <w:b/>
          <w:bCs/>
          <w:szCs w:val="21"/>
          <w:highlight w:val="none"/>
        </w:rPr>
        <w:t>四、定标核查</w:t>
      </w:r>
    </w:p>
    <w:p>
      <w:pPr>
        <w:shd w:val="clear" w:fill="auto"/>
        <w:spacing w:line="360" w:lineRule="auto"/>
        <w:ind w:firstLine="420" w:firstLineChars="200"/>
        <w:contextualSpacing/>
        <w:rPr>
          <w:rFonts w:ascii="宋体" w:hAnsi="宋体" w:cs="仿宋"/>
          <w:szCs w:val="21"/>
          <w:highlight w:val="none"/>
        </w:rPr>
      </w:pPr>
      <w:r>
        <w:rPr>
          <w:rFonts w:hint="eastAsia" w:ascii="宋体" w:hAnsi="宋体" w:cs="仿宋"/>
          <w:szCs w:val="21"/>
          <w:highlight w:val="none"/>
        </w:rPr>
        <w:t>招标人在定标会议前对评标委员会推荐的中标候选人进行定标核查。核查内容包括：</w:t>
      </w:r>
    </w:p>
    <w:p>
      <w:pPr>
        <w:shd w:val="clear" w:fill="auto"/>
        <w:spacing w:line="360" w:lineRule="auto"/>
        <w:ind w:firstLine="420" w:firstLineChars="200"/>
        <w:contextualSpacing/>
        <w:rPr>
          <w:rFonts w:ascii="宋体" w:hAnsi="宋体" w:cs="仿宋"/>
          <w:szCs w:val="21"/>
          <w:highlight w:val="none"/>
        </w:rPr>
      </w:pPr>
      <w:r>
        <w:rPr>
          <w:rFonts w:ascii="宋体" w:hAnsi="宋体" w:cs="仿宋"/>
          <w:szCs w:val="21"/>
          <w:highlight w:val="none"/>
        </w:rPr>
        <w:t>1.中标候选人信用信息；</w:t>
      </w:r>
    </w:p>
    <w:p>
      <w:pPr>
        <w:shd w:val="clear" w:fill="auto"/>
        <w:spacing w:line="360" w:lineRule="auto"/>
        <w:ind w:firstLine="420" w:firstLineChars="200"/>
        <w:contextualSpacing/>
        <w:rPr>
          <w:rFonts w:ascii="宋体" w:hAnsi="宋体" w:cs="仿宋"/>
          <w:szCs w:val="21"/>
          <w:highlight w:val="none"/>
        </w:rPr>
      </w:pPr>
      <w:r>
        <w:rPr>
          <w:rFonts w:ascii="宋体" w:hAnsi="宋体" w:cs="仿宋"/>
          <w:szCs w:val="21"/>
          <w:highlight w:val="none"/>
        </w:rPr>
        <w:t>2.中标候选人受贿行贿情况；</w:t>
      </w:r>
    </w:p>
    <w:p>
      <w:pPr>
        <w:shd w:val="clear" w:fill="auto"/>
        <w:wordWrap w:val="0"/>
        <w:spacing w:line="360" w:lineRule="auto"/>
        <w:ind w:firstLine="420" w:firstLineChars="200"/>
        <w:rPr>
          <w:rFonts w:ascii="宋体" w:hAnsi="宋体" w:cs="宋体"/>
          <w:bCs/>
          <w:szCs w:val="21"/>
          <w:highlight w:val="none"/>
        </w:rPr>
      </w:pPr>
      <w:r>
        <w:rPr>
          <w:rFonts w:ascii="宋体" w:hAnsi="宋体" w:cs="仿宋"/>
          <w:szCs w:val="21"/>
          <w:highlight w:val="none"/>
        </w:rPr>
        <w:t>3.中标候选人履约能力。</w:t>
      </w:r>
      <w:r>
        <w:rPr>
          <w:rFonts w:hint="eastAsia" w:ascii="宋体" w:hAnsi="宋体" w:cs="宋体"/>
          <w:bCs/>
          <w:szCs w:val="21"/>
          <w:highlight w:val="none"/>
        </w:rPr>
        <w:t>具体标准如下。</w:t>
      </w:r>
    </w:p>
    <w:p>
      <w:pPr>
        <w:shd w:val="clear" w:fill="auto"/>
        <w:wordWrap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1.定标会议当天在全国建筑市场监管公共服务平台网站（https://jzsc.mohurd.gov.cn/since/index）查询各中标候选人的不良行为情况，且在有效期的。</w:t>
      </w:r>
    </w:p>
    <w:p>
      <w:pPr>
        <w:shd w:val="clear" w:fill="auto"/>
        <w:wordWrap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定标会议当天在项目所在地省级建筑市场监管公共服务平台【河南省建筑市场监管公共服务平台网站（http://hngcjs.hnjs.henan.gov.cn/creit/creitListView）】及中标候选人注册地省级建筑市场监管公共服务平台查询各中标候选人的2019年1月1日（原则以决定日期为准；没有决定日期的，以发布日期为准）以来的不良行为情况，且在有效期的。</w:t>
      </w:r>
    </w:p>
    <w:p>
      <w:pPr>
        <w:shd w:val="clear" w:fill="auto"/>
        <w:wordWrap w:val="0"/>
        <w:spacing w:line="360" w:lineRule="auto"/>
        <w:ind w:firstLine="420" w:firstLineChars="200"/>
        <w:rPr>
          <w:rFonts w:ascii="宋体" w:hAnsi="宋体" w:cs="仿宋"/>
          <w:szCs w:val="21"/>
          <w:highlight w:val="none"/>
        </w:rPr>
      </w:pPr>
      <w:r>
        <w:rPr>
          <w:rFonts w:hint="eastAsia" w:ascii="宋体" w:hAnsi="宋体" w:cs="宋体"/>
          <w:bCs/>
          <w:szCs w:val="21"/>
          <w:highlight w:val="none"/>
        </w:rPr>
        <w:t>3.定标会议当天在郑州航空港经济综合实验区（郑州新郑综合保税区）公共资源交易中心网站（http://www.zzhkgggzy.cn/zzhkgsyqjyzx/）“曝光台”栏查询各中标候选人2019年1月1日（以发布时间为准）不良行为情况。</w:t>
      </w:r>
    </w:p>
    <w:p>
      <w:pPr>
        <w:shd w:val="clear" w:fill="auto"/>
        <w:spacing w:line="360" w:lineRule="auto"/>
        <w:ind w:firstLine="420" w:firstLineChars="200"/>
        <w:contextualSpacing/>
        <w:rPr>
          <w:rFonts w:ascii="宋体" w:hAnsi="宋体" w:cs="仿宋"/>
          <w:szCs w:val="21"/>
          <w:highlight w:val="none"/>
        </w:rPr>
      </w:pPr>
      <w:r>
        <w:rPr>
          <w:rFonts w:hint="eastAsia" w:ascii="宋体" w:hAnsi="宋体" w:cs="仿宋"/>
          <w:szCs w:val="21"/>
          <w:highlight w:val="none"/>
        </w:rPr>
        <w:t>招标人应将定标核查情况完整记录，并提交至定标委员会。</w:t>
      </w:r>
    </w:p>
    <w:p>
      <w:pPr>
        <w:shd w:val="clear" w:fill="auto"/>
        <w:spacing w:line="360" w:lineRule="auto"/>
        <w:contextualSpacing/>
        <w:rPr>
          <w:rFonts w:ascii="宋体" w:hAnsi="宋体" w:cs="仿宋"/>
          <w:b/>
          <w:bCs/>
          <w:szCs w:val="21"/>
          <w:highlight w:val="none"/>
        </w:rPr>
      </w:pPr>
      <w:r>
        <w:rPr>
          <w:rFonts w:hint="eastAsia" w:ascii="宋体" w:hAnsi="宋体" w:cs="仿宋"/>
          <w:b/>
          <w:bCs/>
          <w:szCs w:val="21"/>
          <w:highlight w:val="none"/>
        </w:rPr>
        <w:t>五、考察、质询</w:t>
      </w:r>
    </w:p>
    <w:p>
      <w:pPr>
        <w:shd w:val="clear" w:fill="auto"/>
        <w:spacing w:line="360" w:lineRule="auto"/>
        <w:ind w:firstLine="420" w:firstLineChars="200"/>
        <w:contextualSpacing/>
        <w:rPr>
          <w:rFonts w:ascii="宋体" w:hAnsi="宋体" w:cs="仿宋"/>
          <w:szCs w:val="21"/>
          <w:highlight w:val="none"/>
        </w:rPr>
      </w:pPr>
      <w:r>
        <w:rPr>
          <w:rFonts w:hint="eastAsia" w:ascii="宋体" w:hAnsi="宋体" w:cs="仿宋"/>
          <w:szCs w:val="21"/>
          <w:highlight w:val="none"/>
        </w:rPr>
        <w:t>本项目招标人在定标会议前不再对各中标候选人进行考察、质询。</w:t>
      </w:r>
    </w:p>
    <w:p>
      <w:pPr>
        <w:shd w:val="clear" w:fill="auto"/>
        <w:spacing w:line="360" w:lineRule="auto"/>
        <w:contextualSpacing/>
        <w:rPr>
          <w:rFonts w:ascii="宋体" w:hAnsi="宋体" w:cs="仿宋"/>
          <w:b/>
          <w:bCs/>
          <w:szCs w:val="21"/>
          <w:highlight w:val="none"/>
        </w:rPr>
      </w:pPr>
      <w:r>
        <w:rPr>
          <w:rFonts w:hint="eastAsia" w:ascii="宋体" w:hAnsi="宋体" w:cs="仿宋"/>
          <w:b/>
          <w:bCs/>
          <w:szCs w:val="21"/>
          <w:highlight w:val="none"/>
        </w:rPr>
        <w:t>六、组建定标委员会</w:t>
      </w:r>
    </w:p>
    <w:p>
      <w:pPr>
        <w:shd w:val="clear" w:fill="auto"/>
        <w:spacing w:line="360" w:lineRule="auto"/>
        <w:ind w:firstLine="420" w:firstLineChars="200"/>
        <w:contextualSpacing/>
        <w:rPr>
          <w:rFonts w:ascii="宋体" w:hAnsi="宋体" w:cs="仿宋"/>
          <w:bCs/>
          <w:szCs w:val="21"/>
          <w:highlight w:val="none"/>
        </w:rPr>
      </w:pPr>
      <w:r>
        <w:rPr>
          <w:rFonts w:hint="eastAsia" w:ascii="宋体" w:hAnsi="宋体" w:cs="仿宋"/>
          <w:bCs/>
          <w:szCs w:val="21"/>
          <w:highlight w:val="none"/>
        </w:rPr>
        <w:t>(一)定标委员会由招标人负责组建,成员人数为</w:t>
      </w:r>
      <w:r>
        <w:rPr>
          <w:rFonts w:ascii="宋体" w:hAnsi="宋体" w:cs="仿宋"/>
          <w:bCs/>
          <w:szCs w:val="21"/>
          <w:highlight w:val="none"/>
        </w:rPr>
        <w:t>5</w:t>
      </w:r>
      <w:r>
        <w:rPr>
          <w:rFonts w:hint="eastAsia" w:ascii="宋体" w:hAnsi="宋体" w:cs="仿宋"/>
          <w:bCs/>
          <w:szCs w:val="21"/>
          <w:highlight w:val="none"/>
        </w:rPr>
        <w:t>人。招标人单位人员不得少于定标委员会成员总数三分之二。定标委员会设组长，组长由招标人确定。</w:t>
      </w:r>
    </w:p>
    <w:p>
      <w:pPr>
        <w:shd w:val="clear" w:fill="auto"/>
        <w:spacing w:line="360" w:lineRule="auto"/>
        <w:ind w:firstLine="420" w:firstLineChars="200"/>
        <w:contextualSpacing/>
        <w:rPr>
          <w:rFonts w:ascii="宋体" w:hAnsi="宋体" w:cs="仿宋"/>
          <w:bCs/>
          <w:szCs w:val="21"/>
          <w:highlight w:val="none"/>
        </w:rPr>
      </w:pPr>
      <w:r>
        <w:rPr>
          <w:rFonts w:hint="eastAsia" w:ascii="宋体" w:hAnsi="宋体" w:cs="仿宋"/>
          <w:bCs/>
          <w:szCs w:val="21"/>
          <w:highlight w:val="none"/>
        </w:rPr>
        <w:t>(二)定标委员会成员有下列情形之一的，应当回避：</w:t>
      </w:r>
    </w:p>
    <w:p>
      <w:pPr>
        <w:shd w:val="clear" w:fill="auto"/>
        <w:spacing w:line="360" w:lineRule="auto"/>
        <w:ind w:firstLine="420" w:firstLineChars="200"/>
        <w:contextualSpacing/>
        <w:rPr>
          <w:rFonts w:ascii="宋体" w:hAnsi="宋体" w:cs="仿宋"/>
          <w:bCs/>
          <w:szCs w:val="21"/>
          <w:highlight w:val="none"/>
        </w:rPr>
      </w:pPr>
      <w:r>
        <w:rPr>
          <w:rFonts w:hint="eastAsia" w:ascii="宋体" w:hAnsi="宋体" w:cs="仿宋"/>
          <w:bCs/>
          <w:szCs w:val="21"/>
          <w:highlight w:val="none"/>
        </w:rPr>
        <w:t>1.投标人或投标人主要负责人的近亲属；</w:t>
      </w:r>
    </w:p>
    <w:p>
      <w:pPr>
        <w:shd w:val="clear" w:fill="auto"/>
        <w:spacing w:line="360" w:lineRule="auto"/>
        <w:ind w:firstLine="420" w:firstLineChars="200"/>
        <w:contextualSpacing/>
        <w:rPr>
          <w:rFonts w:ascii="宋体" w:hAnsi="宋体" w:cs="仿宋"/>
          <w:bCs/>
          <w:szCs w:val="21"/>
          <w:highlight w:val="none"/>
        </w:rPr>
      </w:pPr>
      <w:r>
        <w:rPr>
          <w:rFonts w:hint="eastAsia" w:ascii="宋体" w:hAnsi="宋体" w:cs="仿宋"/>
          <w:bCs/>
          <w:szCs w:val="21"/>
          <w:highlight w:val="none"/>
        </w:rPr>
        <w:t>2.项目主管部门或者监督部门的人员；</w:t>
      </w:r>
    </w:p>
    <w:p>
      <w:pPr>
        <w:shd w:val="clear" w:fill="auto"/>
        <w:spacing w:line="360" w:lineRule="auto"/>
        <w:ind w:firstLine="420" w:firstLineChars="200"/>
        <w:contextualSpacing/>
        <w:rPr>
          <w:rFonts w:ascii="宋体" w:hAnsi="宋体" w:cs="仿宋"/>
          <w:bCs/>
          <w:szCs w:val="21"/>
          <w:highlight w:val="none"/>
        </w:rPr>
      </w:pPr>
      <w:r>
        <w:rPr>
          <w:rFonts w:hint="eastAsia" w:ascii="宋体" w:hAnsi="宋体" w:cs="仿宋"/>
          <w:bCs/>
          <w:szCs w:val="21"/>
          <w:highlight w:val="none"/>
        </w:rPr>
        <w:t>3.与投标人有经济利益关系；</w:t>
      </w:r>
    </w:p>
    <w:p>
      <w:pPr>
        <w:shd w:val="clear" w:fill="auto"/>
        <w:spacing w:line="360" w:lineRule="auto"/>
        <w:ind w:firstLine="420" w:firstLineChars="200"/>
        <w:contextualSpacing/>
        <w:rPr>
          <w:rFonts w:ascii="宋体" w:hAnsi="宋体" w:cs="仿宋"/>
          <w:bCs/>
          <w:szCs w:val="21"/>
          <w:highlight w:val="none"/>
        </w:rPr>
      </w:pPr>
      <w:r>
        <w:rPr>
          <w:rFonts w:hint="eastAsia" w:ascii="宋体" w:hAnsi="宋体" w:cs="仿宋"/>
          <w:bCs/>
          <w:szCs w:val="21"/>
          <w:highlight w:val="none"/>
        </w:rPr>
        <w:t>4.曾因在招标、评标以及其他与招标投标有关活动中从事违法行为而受过行政处罚或刑事处罚的；</w:t>
      </w:r>
    </w:p>
    <w:p>
      <w:pPr>
        <w:shd w:val="clear" w:fill="auto"/>
        <w:spacing w:line="360" w:lineRule="auto"/>
        <w:ind w:firstLine="420" w:firstLineChars="200"/>
        <w:contextualSpacing/>
        <w:rPr>
          <w:rFonts w:ascii="宋体" w:hAnsi="宋体" w:cs="仿宋"/>
          <w:bCs/>
          <w:szCs w:val="21"/>
          <w:highlight w:val="none"/>
        </w:rPr>
      </w:pPr>
      <w:r>
        <w:rPr>
          <w:rFonts w:hint="eastAsia" w:ascii="宋体" w:hAnsi="宋体" w:cs="仿宋"/>
          <w:bCs/>
          <w:szCs w:val="21"/>
          <w:highlight w:val="none"/>
        </w:rPr>
        <w:t>5.与投标人有其他利害关系。</w:t>
      </w:r>
    </w:p>
    <w:p>
      <w:pPr>
        <w:shd w:val="clear" w:fill="auto"/>
        <w:spacing w:line="360" w:lineRule="auto"/>
        <w:contextualSpacing/>
        <w:rPr>
          <w:rFonts w:ascii="宋体" w:hAnsi="宋体" w:cs="仿宋"/>
          <w:b/>
          <w:bCs/>
          <w:szCs w:val="21"/>
          <w:highlight w:val="none"/>
        </w:rPr>
      </w:pPr>
      <w:r>
        <w:rPr>
          <w:rFonts w:hint="eastAsia" w:ascii="宋体" w:hAnsi="宋体" w:cs="仿宋"/>
          <w:b/>
          <w:bCs/>
          <w:szCs w:val="21"/>
          <w:highlight w:val="none"/>
        </w:rPr>
        <w:t>七、定标要素</w:t>
      </w:r>
    </w:p>
    <w:p>
      <w:pPr>
        <w:shd w:val="clear" w:fill="auto"/>
        <w:spacing w:line="360" w:lineRule="auto"/>
        <w:ind w:firstLine="420" w:firstLineChars="200"/>
        <w:contextualSpacing/>
        <w:rPr>
          <w:rFonts w:ascii="宋体" w:hAnsi="宋体" w:cs="仿宋"/>
          <w:szCs w:val="21"/>
          <w:highlight w:val="none"/>
        </w:rPr>
      </w:pPr>
      <w:r>
        <w:rPr>
          <w:rFonts w:hint="eastAsia" w:ascii="宋体" w:hAnsi="宋体" w:cs="仿宋"/>
          <w:szCs w:val="21"/>
          <w:highlight w:val="none"/>
        </w:rPr>
        <w:t>通过定标核查的中标候选人方可进行下一步定标评审，具体如下：</w:t>
      </w:r>
    </w:p>
    <w:tbl>
      <w:tblPr>
        <w:tblStyle w:val="28"/>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01"/>
        <w:gridCol w:w="631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jc w:val="center"/>
              <w:rPr>
                <w:rFonts w:ascii="宋体" w:hAnsi="宋体" w:cs="仿宋"/>
                <w:szCs w:val="21"/>
                <w:highlight w:val="none"/>
              </w:rPr>
            </w:pPr>
            <w:r>
              <w:rPr>
                <w:rFonts w:hint="eastAsia" w:ascii="宋体" w:hAnsi="宋体" w:cs="仿宋"/>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jc w:val="center"/>
              <w:rPr>
                <w:rFonts w:ascii="宋体" w:hAnsi="宋体" w:cs="仿宋"/>
                <w:szCs w:val="21"/>
                <w:highlight w:val="none"/>
              </w:rPr>
            </w:pPr>
            <w:r>
              <w:rPr>
                <w:rFonts w:hint="eastAsia" w:ascii="宋体" w:hAnsi="宋体" w:cs="仿宋"/>
                <w:szCs w:val="21"/>
                <w:highlight w:val="none"/>
              </w:rPr>
              <w:t>定标要素</w:t>
            </w:r>
          </w:p>
        </w:tc>
        <w:tc>
          <w:tcPr>
            <w:tcW w:w="6312"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ind w:firstLine="558" w:firstLineChars="266"/>
              <w:contextualSpacing/>
              <w:jc w:val="center"/>
              <w:rPr>
                <w:rFonts w:ascii="宋体" w:hAnsi="宋体" w:cs="仿宋"/>
                <w:szCs w:val="21"/>
                <w:highlight w:val="none"/>
              </w:rPr>
            </w:pPr>
            <w:r>
              <w:rPr>
                <w:rFonts w:hint="eastAsia" w:ascii="宋体" w:hAnsi="宋体" w:cs="仿宋"/>
                <w:szCs w:val="21"/>
                <w:highlight w:val="none"/>
              </w:rPr>
              <w:t>具体内容</w:t>
            </w:r>
          </w:p>
        </w:tc>
        <w:tc>
          <w:tcPr>
            <w:tcW w:w="870"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jc w:val="center"/>
              <w:rPr>
                <w:rFonts w:ascii="宋体" w:hAnsi="宋体" w:cs="仿宋"/>
                <w:szCs w:val="21"/>
                <w:highlight w:val="none"/>
              </w:rPr>
            </w:pPr>
            <w:r>
              <w:rPr>
                <w:rFonts w:hint="eastAsia" w:ascii="宋体" w:hAnsi="宋体"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jc w:val="center"/>
              <w:rPr>
                <w:rFonts w:ascii="宋体" w:hAnsi="宋体" w:cs="仿宋"/>
                <w:szCs w:val="21"/>
                <w:highlight w:val="none"/>
              </w:rPr>
            </w:pPr>
            <w:r>
              <w:rPr>
                <w:rFonts w:hint="eastAsia" w:ascii="宋体" w:hAnsi="宋体" w:cs="仿宋"/>
                <w:szCs w:val="21"/>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jc w:val="center"/>
              <w:rPr>
                <w:rFonts w:ascii="宋体" w:hAnsi="宋体" w:cs="仿宋"/>
                <w:szCs w:val="21"/>
                <w:highlight w:val="none"/>
              </w:rPr>
            </w:pPr>
            <w:r>
              <w:rPr>
                <w:rFonts w:hint="eastAsia" w:ascii="宋体" w:hAnsi="宋体" w:cs="仿宋"/>
                <w:szCs w:val="21"/>
                <w:highlight w:val="none"/>
              </w:rPr>
              <w:t>评标委员会评审意见</w:t>
            </w:r>
          </w:p>
        </w:tc>
        <w:tc>
          <w:tcPr>
            <w:tcW w:w="6312"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rPr>
                <w:rFonts w:ascii="宋体" w:hAnsi="宋体" w:cs="仿宋"/>
                <w:szCs w:val="21"/>
                <w:highlight w:val="none"/>
              </w:rPr>
            </w:pPr>
            <w:r>
              <w:rPr>
                <w:rFonts w:hint="eastAsia" w:ascii="宋体" w:hAnsi="宋体" w:cs="仿宋"/>
                <w:szCs w:val="21"/>
                <w:highlight w:val="none"/>
              </w:rPr>
              <w:t>评标报告中</w:t>
            </w:r>
            <w:r>
              <w:rPr>
                <w:rFonts w:ascii="宋体" w:hAnsi="宋体" w:cs="仿宋"/>
                <w:szCs w:val="21"/>
                <w:highlight w:val="none"/>
              </w:rPr>
              <w:t>中标候选人的优势、缺点、风险等评审情况和推荐理由</w:t>
            </w:r>
            <w:r>
              <w:rPr>
                <w:rFonts w:hint="eastAsia" w:ascii="宋体" w:hAnsi="宋体" w:cs="仿宋"/>
                <w:szCs w:val="21"/>
                <w:highlight w:val="none"/>
              </w:rPr>
              <w:t>以及</w:t>
            </w:r>
            <w:r>
              <w:rPr>
                <w:rFonts w:ascii="宋体" w:hAnsi="宋体" w:cs="仿宋"/>
                <w:szCs w:val="21"/>
                <w:highlight w:val="none"/>
              </w:rPr>
              <w:t>对技术、质量、安全、工期的控制能力等提出</w:t>
            </w:r>
            <w:r>
              <w:rPr>
                <w:rFonts w:hint="eastAsia" w:ascii="宋体" w:hAnsi="宋体" w:cs="仿宋"/>
                <w:szCs w:val="21"/>
                <w:highlight w:val="none"/>
              </w:rPr>
              <w:t>的</w:t>
            </w:r>
            <w:r>
              <w:rPr>
                <w:rFonts w:ascii="宋体" w:hAnsi="宋体" w:cs="仿宋"/>
                <w:szCs w:val="21"/>
                <w:highlight w:val="none"/>
              </w:rPr>
              <w:t>技术咨询建议。</w:t>
            </w:r>
          </w:p>
        </w:tc>
        <w:tc>
          <w:tcPr>
            <w:tcW w:w="870"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jc w:val="center"/>
              <w:rPr>
                <w:rFonts w:ascii="宋体" w:hAnsi="宋体"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jc w:val="center"/>
              <w:rPr>
                <w:rFonts w:ascii="宋体" w:hAnsi="宋体" w:cs="仿宋"/>
                <w:szCs w:val="21"/>
                <w:highlight w:val="none"/>
              </w:rPr>
            </w:pPr>
            <w:r>
              <w:rPr>
                <w:rFonts w:hint="eastAsia" w:ascii="宋体" w:hAnsi="宋体" w:cs="仿宋"/>
                <w:szCs w:val="21"/>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jc w:val="center"/>
              <w:rPr>
                <w:rFonts w:ascii="宋体" w:hAnsi="宋体" w:cs="仿宋"/>
                <w:szCs w:val="21"/>
                <w:highlight w:val="none"/>
              </w:rPr>
            </w:pPr>
            <w:r>
              <w:rPr>
                <w:rFonts w:hint="eastAsia" w:ascii="宋体" w:hAnsi="宋体" w:cs="仿宋"/>
                <w:szCs w:val="21"/>
                <w:highlight w:val="none"/>
              </w:rPr>
              <w:t>定标核查情况</w:t>
            </w:r>
          </w:p>
        </w:tc>
        <w:tc>
          <w:tcPr>
            <w:tcW w:w="6312"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rPr>
                <w:rFonts w:ascii="宋体" w:hAnsi="宋体" w:cs="仿宋"/>
                <w:szCs w:val="21"/>
                <w:highlight w:val="none"/>
              </w:rPr>
            </w:pPr>
            <w:r>
              <w:rPr>
                <w:rFonts w:hint="eastAsia" w:ascii="宋体" w:hAnsi="宋体" w:cs="仿宋"/>
                <w:szCs w:val="21"/>
                <w:highlight w:val="none"/>
              </w:rPr>
              <w:t>招标人定标核查记录</w:t>
            </w:r>
            <w:r>
              <w:rPr>
                <w:rFonts w:ascii="宋体" w:hAnsi="宋体" w:cs="仿宋"/>
                <w:szCs w:val="21"/>
                <w:highlight w:val="none"/>
              </w:rPr>
              <w:t>。</w:t>
            </w:r>
          </w:p>
        </w:tc>
        <w:tc>
          <w:tcPr>
            <w:tcW w:w="870"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jc w:val="center"/>
              <w:rPr>
                <w:rFonts w:ascii="宋体" w:hAnsi="宋体"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jc w:val="center"/>
              <w:rPr>
                <w:rFonts w:ascii="宋体" w:hAnsi="宋体" w:cs="仿宋"/>
                <w:szCs w:val="21"/>
                <w:highlight w:val="none"/>
              </w:rPr>
            </w:pPr>
            <w:r>
              <w:rPr>
                <w:rFonts w:hint="eastAsia" w:ascii="宋体" w:hAnsi="宋体" w:cs="仿宋"/>
                <w:szCs w:val="21"/>
                <w:highlight w:val="none"/>
              </w:rPr>
              <w:t>3</w:t>
            </w:r>
          </w:p>
        </w:tc>
        <w:tc>
          <w:tcPr>
            <w:tcW w:w="1701"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jc w:val="center"/>
              <w:rPr>
                <w:rFonts w:ascii="宋体" w:hAnsi="宋体" w:cs="仿宋"/>
                <w:szCs w:val="21"/>
                <w:highlight w:val="none"/>
              </w:rPr>
            </w:pPr>
            <w:r>
              <w:rPr>
                <w:rFonts w:hint="eastAsia" w:ascii="宋体" w:hAnsi="宋体" w:cs="仿宋"/>
                <w:szCs w:val="21"/>
                <w:highlight w:val="none"/>
              </w:rPr>
              <w:t>价格因素</w:t>
            </w:r>
          </w:p>
        </w:tc>
        <w:tc>
          <w:tcPr>
            <w:tcW w:w="6312"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rPr>
                <w:rFonts w:ascii="宋体" w:hAnsi="宋体" w:cs="仿宋"/>
                <w:szCs w:val="21"/>
                <w:highlight w:val="none"/>
              </w:rPr>
            </w:pPr>
            <w:r>
              <w:rPr>
                <w:rFonts w:ascii="宋体" w:hAnsi="宋体" w:cs="仿宋"/>
                <w:szCs w:val="21"/>
                <w:highlight w:val="none"/>
              </w:rPr>
              <w:t>主要包括商务报价高低、合理性、不平衡报价情况等。</w:t>
            </w:r>
          </w:p>
        </w:tc>
        <w:tc>
          <w:tcPr>
            <w:tcW w:w="870"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jc w:val="center"/>
              <w:rPr>
                <w:rFonts w:ascii="宋体" w:hAnsi="宋体"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jc w:val="center"/>
              <w:rPr>
                <w:rFonts w:ascii="宋体" w:hAnsi="宋体" w:cs="仿宋"/>
                <w:szCs w:val="21"/>
                <w:highlight w:val="none"/>
              </w:rPr>
            </w:pPr>
            <w:r>
              <w:rPr>
                <w:rFonts w:hint="eastAsia" w:ascii="宋体" w:hAnsi="宋体" w:cs="仿宋"/>
                <w:szCs w:val="21"/>
                <w:highlight w:val="none"/>
              </w:rPr>
              <w:t>4</w:t>
            </w:r>
          </w:p>
        </w:tc>
        <w:tc>
          <w:tcPr>
            <w:tcW w:w="1701"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jc w:val="center"/>
              <w:rPr>
                <w:rFonts w:ascii="宋体" w:hAnsi="宋体" w:cs="仿宋"/>
                <w:szCs w:val="21"/>
                <w:highlight w:val="none"/>
              </w:rPr>
            </w:pPr>
            <w:r>
              <w:rPr>
                <w:rFonts w:hint="eastAsia" w:ascii="宋体" w:hAnsi="宋体" w:cs="仿宋"/>
                <w:szCs w:val="21"/>
                <w:highlight w:val="none"/>
              </w:rPr>
              <w:t>企业实力</w:t>
            </w:r>
          </w:p>
        </w:tc>
        <w:tc>
          <w:tcPr>
            <w:tcW w:w="6312"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rPr>
                <w:rFonts w:ascii="宋体" w:hAnsi="宋体" w:cs="仿宋"/>
                <w:szCs w:val="21"/>
                <w:highlight w:val="none"/>
              </w:rPr>
            </w:pPr>
            <w:r>
              <w:rPr>
                <w:rFonts w:ascii="宋体" w:hAnsi="宋体" w:cs="仿宋"/>
                <w:szCs w:val="21"/>
                <w:highlight w:val="none"/>
              </w:rPr>
              <w:t>主要包括企业规模、资质等级，社会贡献情况。</w:t>
            </w:r>
          </w:p>
        </w:tc>
        <w:tc>
          <w:tcPr>
            <w:tcW w:w="870"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jc w:val="center"/>
              <w:rPr>
                <w:rFonts w:ascii="宋体" w:hAnsi="宋体"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jc w:val="center"/>
              <w:rPr>
                <w:rFonts w:ascii="宋体" w:hAnsi="宋体" w:cs="仿宋"/>
                <w:szCs w:val="21"/>
                <w:highlight w:val="none"/>
              </w:rPr>
            </w:pPr>
            <w:r>
              <w:rPr>
                <w:rFonts w:hint="eastAsia" w:ascii="宋体" w:hAnsi="宋体" w:cs="仿宋"/>
                <w:szCs w:val="21"/>
                <w:highlight w:val="none"/>
              </w:rPr>
              <w:t>5</w:t>
            </w:r>
          </w:p>
        </w:tc>
        <w:tc>
          <w:tcPr>
            <w:tcW w:w="1701"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jc w:val="center"/>
              <w:rPr>
                <w:rFonts w:ascii="宋体" w:hAnsi="宋体" w:cs="仿宋"/>
                <w:szCs w:val="21"/>
                <w:highlight w:val="none"/>
              </w:rPr>
            </w:pPr>
            <w:r>
              <w:rPr>
                <w:rFonts w:hint="eastAsia" w:ascii="宋体" w:hAnsi="宋体" w:cs="仿宋"/>
                <w:szCs w:val="21"/>
                <w:highlight w:val="none"/>
              </w:rPr>
              <w:t>投标方案</w:t>
            </w:r>
          </w:p>
        </w:tc>
        <w:tc>
          <w:tcPr>
            <w:tcW w:w="6312"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rPr>
                <w:rFonts w:ascii="宋体" w:hAnsi="宋体" w:cs="仿宋"/>
                <w:szCs w:val="21"/>
                <w:highlight w:val="none"/>
              </w:rPr>
            </w:pPr>
            <w:r>
              <w:rPr>
                <w:rFonts w:ascii="宋体" w:hAnsi="宋体" w:cs="仿宋"/>
                <w:szCs w:val="21"/>
                <w:highlight w:val="none"/>
              </w:rPr>
              <w:t>主要为实现工程建设目标、强化工程实施重点和解决管理难点，并充分体现投标人服务便利度、合同稳定性、质量安全保障性、劳资纠纷可控度等因素。</w:t>
            </w:r>
          </w:p>
        </w:tc>
        <w:tc>
          <w:tcPr>
            <w:tcW w:w="870"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jc w:val="center"/>
              <w:rPr>
                <w:rFonts w:ascii="宋体" w:hAnsi="宋体"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jc w:val="center"/>
              <w:rPr>
                <w:rFonts w:ascii="宋体" w:hAnsi="宋体" w:cs="仿宋"/>
                <w:szCs w:val="21"/>
                <w:highlight w:val="none"/>
              </w:rPr>
            </w:pPr>
            <w:r>
              <w:rPr>
                <w:rFonts w:hint="eastAsia" w:ascii="宋体" w:hAnsi="宋体" w:cs="仿宋"/>
                <w:szCs w:val="21"/>
                <w:highlight w:val="none"/>
              </w:rPr>
              <w:t>6</w:t>
            </w:r>
          </w:p>
        </w:tc>
        <w:tc>
          <w:tcPr>
            <w:tcW w:w="1701"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jc w:val="center"/>
              <w:rPr>
                <w:rFonts w:ascii="宋体" w:hAnsi="宋体" w:cs="仿宋"/>
                <w:szCs w:val="21"/>
                <w:highlight w:val="none"/>
              </w:rPr>
            </w:pPr>
            <w:r>
              <w:rPr>
                <w:rFonts w:hint="eastAsia" w:ascii="宋体" w:hAnsi="宋体" w:cs="仿宋"/>
                <w:szCs w:val="21"/>
                <w:highlight w:val="none"/>
              </w:rPr>
              <w:t>拟派团队能力与水平</w:t>
            </w:r>
          </w:p>
        </w:tc>
        <w:tc>
          <w:tcPr>
            <w:tcW w:w="6312"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rPr>
                <w:rFonts w:ascii="宋体" w:hAnsi="宋体" w:cs="仿宋"/>
                <w:szCs w:val="21"/>
                <w:highlight w:val="none"/>
              </w:rPr>
            </w:pPr>
            <w:r>
              <w:rPr>
                <w:rFonts w:ascii="宋体" w:hAnsi="宋体" w:cs="仿宋"/>
                <w:szCs w:val="21"/>
                <w:highlight w:val="none"/>
              </w:rPr>
              <w:t>人员组织调配的及时性、合理性，突发事件处置能力，售后服务便利性等因素。</w:t>
            </w:r>
          </w:p>
        </w:tc>
        <w:tc>
          <w:tcPr>
            <w:tcW w:w="870" w:type="dxa"/>
            <w:tcBorders>
              <w:top w:val="single" w:color="auto" w:sz="4" w:space="0"/>
              <w:left w:val="single" w:color="auto" w:sz="4" w:space="0"/>
              <w:bottom w:val="single" w:color="auto" w:sz="4" w:space="0"/>
              <w:right w:val="single" w:color="auto" w:sz="4" w:space="0"/>
            </w:tcBorders>
            <w:vAlign w:val="center"/>
          </w:tcPr>
          <w:p>
            <w:pPr>
              <w:shd w:val="clear" w:fill="auto"/>
              <w:spacing w:line="360" w:lineRule="auto"/>
              <w:contextualSpacing/>
              <w:jc w:val="center"/>
              <w:rPr>
                <w:rFonts w:ascii="宋体" w:hAnsi="宋体" w:cs="仿宋"/>
                <w:szCs w:val="21"/>
                <w:highlight w:val="none"/>
              </w:rPr>
            </w:pPr>
          </w:p>
        </w:tc>
      </w:tr>
    </w:tbl>
    <w:p>
      <w:pPr>
        <w:shd w:val="clear" w:fill="auto"/>
        <w:spacing w:line="360" w:lineRule="auto"/>
        <w:contextualSpacing/>
        <w:rPr>
          <w:rFonts w:ascii="宋体" w:hAnsi="宋体" w:cs="仿宋"/>
          <w:b/>
          <w:bCs/>
          <w:szCs w:val="21"/>
          <w:highlight w:val="none"/>
        </w:rPr>
      </w:pPr>
      <w:r>
        <w:rPr>
          <w:rFonts w:hint="eastAsia" w:ascii="宋体" w:hAnsi="宋体" w:cs="仿宋"/>
          <w:b/>
          <w:bCs/>
          <w:szCs w:val="21"/>
          <w:highlight w:val="none"/>
        </w:rPr>
        <w:t>八、定标方法</w:t>
      </w:r>
    </w:p>
    <w:p>
      <w:pPr>
        <w:shd w:val="clear" w:fill="auto"/>
        <w:spacing w:line="360" w:lineRule="auto"/>
        <w:ind w:firstLine="420" w:firstLineChars="200"/>
        <w:contextualSpacing/>
        <w:rPr>
          <w:rFonts w:ascii="宋体" w:hAnsi="宋体" w:cs="仿宋"/>
          <w:bCs/>
          <w:szCs w:val="21"/>
          <w:highlight w:val="none"/>
        </w:rPr>
      </w:pPr>
      <w:r>
        <w:rPr>
          <w:rFonts w:hint="eastAsia" w:ascii="宋体" w:hAnsi="宋体" w:cs="仿宋"/>
          <w:bCs/>
          <w:szCs w:val="21"/>
          <w:highlight w:val="none"/>
        </w:rPr>
        <w:t>郑州航空港经济综合实验区会展片区绿地整治工程定标方法采用</w:t>
      </w:r>
      <w:r>
        <w:rPr>
          <w:rFonts w:hint="eastAsia" w:ascii="宋体" w:hAnsi="宋体" w:cs="仿宋"/>
          <w:b/>
          <w:bCs/>
          <w:szCs w:val="21"/>
          <w:highlight w:val="none"/>
        </w:rPr>
        <w:t>直接票决定标法</w:t>
      </w:r>
      <w:r>
        <w:rPr>
          <w:rFonts w:hint="eastAsia" w:ascii="宋体" w:hAnsi="宋体" w:cs="仿宋"/>
          <w:bCs/>
          <w:szCs w:val="21"/>
          <w:highlight w:val="none"/>
        </w:rPr>
        <w:t>。</w:t>
      </w:r>
    </w:p>
    <w:p>
      <w:pPr>
        <w:widowControl/>
        <w:shd w:val="clear" w:fill="auto"/>
        <w:topLinePunct/>
        <w:spacing w:line="360" w:lineRule="auto"/>
        <w:contextualSpacing/>
        <w:jc w:val="left"/>
        <w:rPr>
          <w:rFonts w:ascii="宋体" w:hAnsi="宋体" w:cs="仿宋"/>
          <w:bCs/>
          <w:szCs w:val="21"/>
          <w:highlight w:val="none"/>
        </w:rPr>
      </w:pPr>
      <w:r>
        <w:rPr>
          <w:rFonts w:hint="eastAsia" w:ascii="宋体" w:hAnsi="宋体" w:cs="仿宋"/>
          <w:bCs/>
          <w:szCs w:val="21"/>
          <w:highlight w:val="none"/>
        </w:rPr>
        <w:t>定标委员会成员根据定标要素对各中标候选人进行评审比较后，一</w:t>
      </w:r>
      <w:r>
        <w:rPr>
          <w:rFonts w:hint="eastAsia" w:ascii="宋体" w:hAnsi="宋体"/>
          <w:bCs/>
          <w:szCs w:val="21"/>
          <w:highlight w:val="none"/>
        </w:rPr>
        <w:t>次性票决排名推荐中标候选人</w:t>
      </w:r>
      <w:r>
        <w:rPr>
          <w:rFonts w:hint="eastAsia" w:ascii="宋体" w:hAnsi="宋体" w:cs="仿宋"/>
          <w:bCs/>
          <w:szCs w:val="21"/>
          <w:highlight w:val="none"/>
        </w:rPr>
        <w:t>。直接票决过程中得票数相同且影响确定中标人的，可由定标委员会对得票数相同的单位进行再次票决直至确定中标人。</w:t>
      </w:r>
    </w:p>
    <w:p>
      <w:pPr>
        <w:shd w:val="clear" w:fill="auto"/>
        <w:spacing w:line="360" w:lineRule="auto"/>
        <w:contextualSpacing/>
        <w:rPr>
          <w:rFonts w:ascii="宋体" w:hAnsi="宋体" w:cs="仿宋"/>
          <w:b/>
          <w:bCs/>
          <w:szCs w:val="21"/>
          <w:highlight w:val="none"/>
        </w:rPr>
      </w:pPr>
      <w:r>
        <w:rPr>
          <w:rFonts w:hint="eastAsia" w:ascii="宋体" w:hAnsi="宋体" w:cs="仿宋"/>
          <w:b/>
          <w:bCs/>
          <w:szCs w:val="21"/>
          <w:highlight w:val="none"/>
        </w:rPr>
        <w:t>九、定标结果公告</w:t>
      </w:r>
    </w:p>
    <w:p>
      <w:pPr>
        <w:shd w:val="clear" w:fill="auto"/>
        <w:spacing w:line="360" w:lineRule="auto"/>
        <w:ind w:firstLine="558" w:firstLineChars="266"/>
        <w:contextualSpacing/>
        <w:rPr>
          <w:rFonts w:ascii="宋体" w:hAnsi="宋体" w:cs="仿宋"/>
          <w:szCs w:val="21"/>
          <w:highlight w:val="none"/>
        </w:rPr>
      </w:pPr>
      <w:r>
        <w:rPr>
          <w:rFonts w:hint="eastAsia" w:ascii="宋体" w:hAnsi="宋体" w:cs="仿宋"/>
          <w:szCs w:val="21"/>
          <w:highlight w:val="none"/>
        </w:rPr>
        <w:t>招标人应当自定标会议结束后3日以内公示拟定中标人，公示期3日。</w:t>
      </w:r>
    </w:p>
    <w:p>
      <w:pPr>
        <w:shd w:val="clear" w:fill="auto"/>
        <w:spacing w:line="360" w:lineRule="auto"/>
        <w:contextualSpacing/>
        <w:rPr>
          <w:rFonts w:ascii="宋体" w:hAnsi="宋体" w:cs="仿宋"/>
          <w:b/>
          <w:bCs/>
          <w:szCs w:val="21"/>
          <w:highlight w:val="none"/>
        </w:rPr>
      </w:pPr>
      <w:r>
        <w:rPr>
          <w:rFonts w:hint="eastAsia" w:ascii="宋体" w:hAnsi="宋体" w:cs="仿宋"/>
          <w:b/>
          <w:bCs/>
          <w:szCs w:val="21"/>
          <w:highlight w:val="none"/>
        </w:rPr>
        <w:t>十、重新定标</w:t>
      </w:r>
    </w:p>
    <w:p>
      <w:pPr>
        <w:shd w:val="clear" w:fill="auto"/>
        <w:spacing w:line="360" w:lineRule="auto"/>
        <w:ind w:firstLine="525" w:firstLineChars="250"/>
        <w:contextualSpacing/>
        <w:rPr>
          <w:rFonts w:ascii="宋体" w:hAnsi="宋体" w:cs="仿宋"/>
          <w:szCs w:val="21"/>
          <w:highlight w:val="none"/>
        </w:rPr>
      </w:pPr>
      <w:r>
        <w:rPr>
          <w:rFonts w:hint="eastAsia" w:ascii="宋体" w:hAnsi="宋体" w:cs="仿宋"/>
          <w:szCs w:val="21"/>
          <w:highlight w:val="none"/>
        </w:rPr>
        <w:t>中标人放弃中标、因不可抗力不能履行合同、不按照招标文件要求提交履约保证金，或者被查实存在影响中标结果的违法行为等情形，不符合中标条件的，招标人可以采用原定标方法，由原定标委员会在剩余中标候选人名单中再次确定中标人并公示，或招标人可以重新招标。</w:t>
      </w:r>
    </w:p>
    <w:p>
      <w:pPr>
        <w:shd w:val="clear" w:fill="auto"/>
        <w:spacing w:line="360" w:lineRule="auto"/>
        <w:contextualSpacing/>
        <w:rPr>
          <w:rFonts w:ascii="宋体" w:hAnsi="宋体" w:cs="宋体"/>
          <w:highlight w:val="none"/>
        </w:rPr>
      </w:pPr>
    </w:p>
    <w:p>
      <w:pPr>
        <w:shd w:val="clear" w:fill="auto"/>
        <w:spacing w:line="360" w:lineRule="auto"/>
        <w:contextualSpacing/>
        <w:outlineLvl w:val="9"/>
        <w:rPr>
          <w:rFonts w:ascii="宋体" w:hAnsi="宋体" w:eastAsia="宋体"/>
          <w:highlight w:val="none"/>
        </w:rPr>
      </w:pPr>
    </w:p>
    <w:p>
      <w:pPr>
        <w:shd w:val="clear" w:fill="auto"/>
        <w:spacing w:line="360" w:lineRule="auto"/>
        <w:contextualSpacing/>
        <w:rPr>
          <w:rFonts w:ascii="宋体" w:hAnsi="宋体"/>
          <w:highlight w:val="none"/>
        </w:rPr>
      </w:pPr>
    </w:p>
    <w:p>
      <w:pPr>
        <w:widowControl/>
        <w:shd w:val="clear" w:fill="auto"/>
        <w:spacing w:line="360" w:lineRule="auto"/>
        <w:contextualSpacing/>
        <w:jc w:val="left"/>
        <w:rPr>
          <w:rFonts w:ascii="宋体" w:hAnsi="宋体"/>
          <w:b/>
          <w:sz w:val="30"/>
          <w:szCs w:val="32"/>
          <w:highlight w:val="none"/>
        </w:rPr>
      </w:pPr>
      <w:r>
        <w:rPr>
          <w:rFonts w:ascii="宋体" w:hAnsi="宋体"/>
          <w:highlight w:val="none"/>
        </w:rPr>
        <w:br w:type="page"/>
      </w:r>
    </w:p>
    <w:p>
      <w:pPr>
        <w:pStyle w:val="2"/>
        <w:shd w:val="clear" w:fill="auto"/>
        <w:spacing w:before="0" w:after="0" w:line="360" w:lineRule="auto"/>
        <w:jc w:val="center"/>
        <w:rPr>
          <w:rFonts w:hint="eastAsia" w:ascii="宋体" w:hAnsi="宋体" w:eastAsia="宋体" w:cs="Times New Roman"/>
          <w:color w:val="000000"/>
          <w:sz w:val="32"/>
          <w:szCs w:val="32"/>
          <w:highlight w:val="yellow"/>
        </w:rPr>
      </w:pPr>
      <w:bookmarkStart w:id="334" w:name="_Toc21072"/>
      <w:bookmarkStart w:id="335" w:name="_Toc667"/>
      <w:bookmarkStart w:id="336" w:name="_Toc18074"/>
      <w:bookmarkStart w:id="337" w:name="_Toc12584"/>
      <w:r>
        <w:rPr>
          <w:rFonts w:hint="eastAsia" w:ascii="宋体" w:hAnsi="宋体" w:eastAsia="宋体" w:cs="Times New Roman"/>
          <w:color w:val="000000"/>
          <w:sz w:val="32"/>
          <w:szCs w:val="32"/>
          <w:highlight w:val="none"/>
        </w:rPr>
        <w:t>第</w:t>
      </w:r>
      <w:r>
        <w:rPr>
          <w:rFonts w:hint="eastAsia" w:ascii="宋体" w:hAnsi="宋体" w:eastAsia="宋体" w:cs="Times New Roman"/>
          <w:color w:val="000000"/>
          <w:sz w:val="32"/>
          <w:szCs w:val="32"/>
          <w:highlight w:val="none"/>
          <w:lang w:eastAsia="zh-CN"/>
        </w:rPr>
        <w:t>五</w:t>
      </w:r>
      <w:r>
        <w:rPr>
          <w:rFonts w:hint="eastAsia" w:ascii="宋体" w:hAnsi="宋体" w:eastAsia="宋体" w:cs="Times New Roman"/>
          <w:color w:val="000000"/>
          <w:sz w:val="32"/>
          <w:szCs w:val="32"/>
          <w:highlight w:val="none"/>
        </w:rPr>
        <w:t>章 合同条款及格式</w:t>
      </w:r>
      <w:bookmarkEnd w:id="334"/>
      <w:bookmarkEnd w:id="335"/>
      <w:bookmarkEnd w:id="336"/>
      <w:bookmarkEnd w:id="337"/>
    </w:p>
    <w:p>
      <w:pPr>
        <w:pageBreakBefore w:val="0"/>
        <w:shd w:val="clear" w:fill="auto"/>
        <w:kinsoku/>
        <w:wordWrap/>
        <w:overflowPunct/>
        <w:topLinePunct w:val="0"/>
        <w:bidi w:val="0"/>
        <w:spacing w:line="360" w:lineRule="auto"/>
        <w:ind w:left="0" w:leftChars="0" w:right="0" w:rightChars="0"/>
        <w:jc w:val="left"/>
        <w:rPr>
          <w:rFonts w:hint="eastAsia" w:ascii="宋体" w:hAnsi="宋体" w:eastAsia="宋体" w:cs="宋体"/>
          <w:bCs/>
          <w:color w:val="auto"/>
          <w:sz w:val="32"/>
          <w:szCs w:val="32"/>
          <w:highlight w:val="none"/>
        </w:rPr>
      </w:pPr>
    </w:p>
    <w:p>
      <w:pPr>
        <w:pageBreakBefore w:val="0"/>
        <w:shd w:val="clear" w:fill="auto"/>
        <w:kinsoku/>
        <w:wordWrap/>
        <w:overflowPunct/>
        <w:topLinePunct w:val="0"/>
        <w:bidi w:val="0"/>
        <w:spacing w:line="360" w:lineRule="auto"/>
        <w:ind w:left="0" w:leftChars="0" w:right="0" w:rightChars="0"/>
        <w:jc w:val="center"/>
        <w:rPr>
          <w:rFonts w:hint="eastAsia" w:ascii="宋体" w:hAnsi="宋体" w:eastAsia="宋体" w:cs="宋体"/>
          <w:b/>
          <w:color w:val="auto"/>
          <w:sz w:val="52"/>
          <w:szCs w:val="52"/>
          <w:highlight w:val="none"/>
        </w:rPr>
      </w:pPr>
    </w:p>
    <w:p>
      <w:pPr>
        <w:pageBreakBefore w:val="0"/>
        <w:shd w:val="clear" w:fill="auto"/>
        <w:kinsoku/>
        <w:wordWrap/>
        <w:overflowPunct/>
        <w:topLinePunct w:val="0"/>
        <w:bidi w:val="0"/>
        <w:spacing w:line="360" w:lineRule="auto"/>
        <w:ind w:left="0" w:leftChars="0" w:right="0" w:rightChars="0"/>
        <w:jc w:val="center"/>
        <w:rPr>
          <w:rFonts w:hint="eastAsia" w:ascii="宋体" w:hAnsi="宋体" w:eastAsia="宋体" w:cs="宋体"/>
          <w:b/>
          <w:color w:val="auto"/>
          <w:sz w:val="52"/>
          <w:szCs w:val="52"/>
          <w:highlight w:val="none"/>
        </w:rPr>
      </w:pPr>
    </w:p>
    <w:p>
      <w:pPr>
        <w:pageBreakBefore w:val="0"/>
        <w:shd w:val="clear" w:fill="auto"/>
        <w:kinsoku/>
        <w:wordWrap/>
        <w:overflowPunct/>
        <w:topLinePunct w:val="0"/>
        <w:bidi w:val="0"/>
        <w:spacing w:line="360" w:lineRule="auto"/>
        <w:ind w:left="0" w:leftChars="0" w:right="0" w:rightChars="0"/>
        <w:jc w:val="center"/>
        <w:rPr>
          <w:rFonts w:hint="eastAsia" w:ascii="宋体" w:hAnsi="宋体" w:eastAsia="宋体" w:cs="宋体"/>
          <w:b/>
          <w:color w:val="auto"/>
          <w:sz w:val="72"/>
          <w:szCs w:val="52"/>
          <w:highlight w:val="none"/>
          <w:lang w:eastAsia="zh-CN"/>
        </w:rPr>
      </w:pPr>
      <w:r>
        <w:rPr>
          <w:rFonts w:hint="eastAsia" w:ascii="宋体" w:hAnsi="宋体" w:cs="宋体"/>
          <w:b/>
          <w:color w:val="auto"/>
          <w:sz w:val="72"/>
          <w:szCs w:val="52"/>
          <w:highlight w:val="none"/>
          <w:lang w:eastAsia="zh-CN"/>
        </w:rPr>
        <w:t>绿化</w:t>
      </w:r>
      <w:r>
        <w:rPr>
          <w:rFonts w:hint="eastAsia" w:ascii="宋体" w:hAnsi="宋体" w:eastAsia="宋体" w:cs="宋体"/>
          <w:b/>
          <w:color w:val="auto"/>
          <w:sz w:val="72"/>
          <w:szCs w:val="52"/>
          <w:highlight w:val="none"/>
        </w:rPr>
        <w:t>工程施工合同</w:t>
      </w:r>
    </w:p>
    <w:p>
      <w:pPr>
        <w:pageBreakBefore w:val="0"/>
        <w:shd w:val="clear" w:fill="auto"/>
        <w:kinsoku/>
        <w:wordWrap/>
        <w:overflowPunct/>
        <w:topLinePunct w:val="0"/>
        <w:bidi w:val="0"/>
        <w:spacing w:line="360" w:lineRule="auto"/>
        <w:ind w:left="0" w:leftChars="0" w:right="0" w:rightChars="0"/>
        <w:jc w:val="center"/>
        <w:rPr>
          <w:rFonts w:hint="eastAsia" w:ascii="宋体" w:hAnsi="宋体" w:eastAsia="宋体" w:cs="宋体"/>
          <w:b/>
          <w:color w:val="auto"/>
          <w:sz w:val="52"/>
          <w:szCs w:val="52"/>
          <w:highlight w:val="none"/>
        </w:rPr>
      </w:pPr>
    </w:p>
    <w:p>
      <w:pPr>
        <w:shd w:val="clear" w:fill="auto"/>
        <w:spacing w:before="0" w:after="0" w:line="360" w:lineRule="auto"/>
        <w:jc w:val="center"/>
        <w:outlineLvl w:val="9"/>
        <w:rPr>
          <w:rFonts w:hint="eastAsia" w:ascii="宋体" w:hAnsi="宋体" w:eastAsia="宋体" w:cs="宋体"/>
          <w:b/>
          <w:color w:val="auto"/>
          <w:sz w:val="72"/>
          <w:szCs w:val="72"/>
          <w:highlight w:val="none"/>
        </w:rPr>
      </w:pPr>
    </w:p>
    <w:p>
      <w:pPr>
        <w:pageBreakBefore w:val="0"/>
        <w:shd w:val="clear" w:fill="auto"/>
        <w:kinsoku/>
        <w:wordWrap/>
        <w:overflowPunct/>
        <w:topLinePunct w:val="0"/>
        <w:bidi w:val="0"/>
        <w:spacing w:line="360" w:lineRule="auto"/>
        <w:ind w:left="0" w:leftChars="0" w:right="0" w:rightChars="0"/>
        <w:jc w:val="center"/>
        <w:rPr>
          <w:rFonts w:hint="eastAsia" w:ascii="宋体" w:hAnsi="宋体" w:eastAsia="宋体" w:cs="宋体"/>
          <w:b/>
          <w:color w:val="auto"/>
          <w:sz w:val="52"/>
          <w:szCs w:val="52"/>
          <w:highlight w:val="none"/>
        </w:rPr>
      </w:pPr>
    </w:p>
    <w:p>
      <w:pPr>
        <w:pageBreakBefore w:val="0"/>
        <w:shd w:val="clear" w:fill="auto"/>
        <w:kinsoku/>
        <w:wordWrap/>
        <w:overflowPunct/>
        <w:topLinePunct w:val="0"/>
        <w:bidi w:val="0"/>
        <w:spacing w:line="360" w:lineRule="auto"/>
        <w:ind w:left="0" w:leftChars="0" w:right="0" w:rightChars="0"/>
        <w:rPr>
          <w:rFonts w:hint="eastAsia" w:ascii="宋体" w:hAnsi="宋体" w:eastAsia="宋体" w:cs="宋体"/>
          <w:b/>
          <w:color w:val="auto"/>
          <w:sz w:val="28"/>
          <w:szCs w:val="28"/>
          <w:highlight w:val="none"/>
        </w:rPr>
      </w:pPr>
    </w:p>
    <w:p>
      <w:pPr>
        <w:pageBreakBefore w:val="0"/>
        <w:shd w:val="clear" w:fill="auto"/>
        <w:kinsoku/>
        <w:wordWrap/>
        <w:overflowPunct/>
        <w:topLinePunct w:val="0"/>
        <w:bidi w:val="0"/>
        <w:spacing w:line="360" w:lineRule="auto"/>
        <w:ind w:left="0" w:leftChars="0" w:right="0" w:rightChars="0"/>
        <w:rPr>
          <w:rFonts w:hint="eastAsia" w:ascii="宋体" w:hAnsi="宋体" w:eastAsia="宋体" w:cs="宋体"/>
          <w:b/>
          <w:color w:val="auto"/>
          <w:sz w:val="28"/>
          <w:szCs w:val="28"/>
          <w:highlight w:val="none"/>
        </w:rPr>
      </w:pPr>
    </w:p>
    <w:p>
      <w:pPr>
        <w:shd w:val="clear" w:fill="auto"/>
        <w:outlineLvl w:val="9"/>
        <w:rPr>
          <w:rFonts w:hint="eastAsia" w:ascii="宋体" w:hAnsi="宋体" w:eastAsia="宋体" w:cs="宋体"/>
          <w:b/>
          <w:color w:val="auto"/>
          <w:sz w:val="28"/>
          <w:szCs w:val="28"/>
          <w:highlight w:val="none"/>
        </w:rPr>
      </w:pPr>
    </w:p>
    <w:p>
      <w:pPr>
        <w:shd w:val="clear" w:fill="auto"/>
        <w:rPr>
          <w:rFonts w:hint="eastAsia"/>
          <w:highlight w:val="none"/>
        </w:rPr>
      </w:pPr>
    </w:p>
    <w:p>
      <w:pPr>
        <w:pageBreakBefore w:val="0"/>
        <w:shd w:val="clear" w:fill="auto"/>
        <w:kinsoku/>
        <w:wordWrap/>
        <w:overflowPunct/>
        <w:topLinePunct w:val="0"/>
        <w:bidi w:val="0"/>
        <w:spacing w:line="360" w:lineRule="auto"/>
        <w:ind w:left="0" w:leftChars="0" w:right="0" w:rightChars="0"/>
        <w:rPr>
          <w:rFonts w:hint="eastAsia" w:ascii="宋体" w:hAnsi="宋体" w:eastAsia="宋体" w:cs="宋体"/>
          <w:b/>
          <w:color w:val="auto"/>
          <w:sz w:val="28"/>
          <w:szCs w:val="28"/>
          <w:highlight w:val="none"/>
        </w:rPr>
      </w:pPr>
    </w:p>
    <w:p>
      <w:pPr>
        <w:pageBreakBefore w:val="0"/>
        <w:shd w:val="clear" w:fill="auto"/>
        <w:kinsoku/>
        <w:wordWrap/>
        <w:overflowPunct/>
        <w:topLinePunct w:val="0"/>
        <w:bidi w:val="0"/>
        <w:spacing w:line="360" w:lineRule="auto"/>
        <w:ind w:left="0" w:leftChars="0" w:right="0" w:rightChars="0"/>
        <w:rPr>
          <w:rFonts w:hint="eastAsia" w:ascii="宋体" w:hAnsi="宋体" w:eastAsia="宋体" w:cs="宋体"/>
          <w:b/>
          <w:color w:val="auto"/>
          <w:sz w:val="28"/>
          <w:szCs w:val="28"/>
          <w:highlight w:val="none"/>
        </w:rPr>
      </w:pPr>
    </w:p>
    <w:p>
      <w:pPr>
        <w:pageBreakBefore w:val="0"/>
        <w:shd w:val="clear" w:fill="auto"/>
        <w:kinsoku/>
        <w:wordWrap/>
        <w:overflowPunct/>
        <w:topLinePunct w:val="0"/>
        <w:bidi w:val="0"/>
        <w:spacing w:line="600" w:lineRule="auto"/>
        <w:ind w:leftChars="1400" w:right="0" w:rightChars="0"/>
        <w:jc w:val="left"/>
        <w:rPr>
          <w:rFonts w:hint="eastAsia" w:ascii="宋体" w:hAnsi="宋体" w:eastAsia="宋体" w:cs="宋体"/>
          <w:b/>
          <w:color w:val="auto"/>
          <w:sz w:val="32"/>
          <w:szCs w:val="28"/>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336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BMA6w8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hint="eastAsia" w:ascii="宋体" w:hAnsi="宋体" w:eastAsia="宋体" w:cs="宋体"/>
          <w:b/>
          <w:color w:val="auto"/>
          <w:sz w:val="32"/>
          <w:szCs w:val="28"/>
          <w:highlight w:val="none"/>
        </w:rPr>
        <w:t>住</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房</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城</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乡</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建</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设</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部</w:t>
      </w:r>
    </w:p>
    <w:p>
      <w:pPr>
        <w:pageBreakBefore w:val="0"/>
        <w:shd w:val="clear" w:fill="auto"/>
        <w:kinsoku/>
        <w:wordWrap/>
        <w:overflowPunct/>
        <w:topLinePunct w:val="0"/>
        <w:bidi w:val="0"/>
        <w:spacing w:line="600" w:lineRule="auto"/>
        <w:ind w:leftChars="1400" w:right="0" w:rightChars="0"/>
        <w:jc w:val="left"/>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rPr>
        <w:t>国家工商行政管理总局</w:t>
      </w:r>
    </w:p>
    <w:p>
      <w:pPr>
        <w:pStyle w:val="4"/>
        <w:pageBreakBefore w:val="0"/>
        <w:shd w:val="clear" w:fill="FFFFFF" w:themeFill="background1"/>
        <w:kinsoku/>
        <w:wordWrap/>
        <w:overflowPunct/>
        <w:topLinePunct w:val="0"/>
        <w:bidi w:val="0"/>
        <w:spacing w:line="360" w:lineRule="auto"/>
        <w:ind w:left="0" w:leftChars="0" w:right="0" w:rightChars="0"/>
        <w:jc w:val="center"/>
        <w:rPr>
          <w:rFonts w:hint="eastAsia" w:ascii="宋体" w:hAnsi="宋体" w:eastAsia="宋体" w:cs="宋体"/>
          <w:color w:val="auto"/>
          <w:sz w:val="24"/>
          <w:szCs w:val="24"/>
          <w:highlight w:val="none"/>
        </w:rPr>
        <w:sectPr>
          <w:footerReference r:id="rId12" w:type="first"/>
          <w:footerReference r:id="rId11" w:type="default"/>
          <w:pgSz w:w="11906" w:h="16838"/>
          <w:pgMar w:top="1247" w:right="1247" w:bottom="1247" w:left="1247" w:header="851" w:footer="992" w:gutter="0"/>
          <w:pgNumType w:fmt="decimal" w:start="1"/>
          <w:cols w:space="0" w:num="1"/>
          <w:titlePg/>
          <w:rtlGutter w:val="0"/>
          <w:docGrid w:type="lines" w:linePitch="312" w:charSpace="0"/>
        </w:sectPr>
      </w:pPr>
      <w:bookmarkStart w:id="338" w:name="_Toc351203480"/>
      <w:bookmarkStart w:id="339" w:name="_Toc296890982"/>
      <w:bookmarkStart w:id="340" w:name="_Toc296503025"/>
    </w:p>
    <w:p>
      <w:pPr>
        <w:pStyle w:val="3"/>
        <w:pageBreakBefore w:val="0"/>
        <w:shd w:val="clear" w:fill="auto"/>
        <w:kinsoku/>
        <w:wordWrap/>
        <w:overflowPunct/>
        <w:topLinePunct w:val="0"/>
        <w:bidi w:val="0"/>
        <w:spacing w:line="360" w:lineRule="auto"/>
        <w:ind w:left="0" w:leftChars="0" w:right="0" w:rightChars="0"/>
        <w:jc w:val="center"/>
        <w:outlineLvl w:val="1"/>
        <w:rPr>
          <w:rFonts w:hint="eastAsia" w:ascii="宋体" w:hAnsi="宋体" w:eastAsia="宋体" w:cs="宋体"/>
          <w:b w:val="0"/>
          <w:color w:val="auto"/>
          <w:sz w:val="24"/>
          <w:szCs w:val="24"/>
          <w:highlight w:val="none"/>
        </w:rPr>
      </w:pPr>
      <w:bookmarkStart w:id="341" w:name="_Toc25280"/>
      <w:bookmarkStart w:id="342" w:name="_Toc26821"/>
      <w:bookmarkStart w:id="343" w:name="_Toc28265"/>
      <w:bookmarkStart w:id="344" w:name="_Toc32405"/>
      <w:r>
        <w:rPr>
          <w:rFonts w:hint="eastAsia" w:ascii="宋体" w:hAnsi="宋体" w:eastAsia="宋体" w:cs="宋体"/>
          <w:color w:val="auto"/>
          <w:sz w:val="24"/>
          <w:szCs w:val="24"/>
          <w:highlight w:val="none"/>
        </w:rPr>
        <w:t>第一部分 合同协议书</w:t>
      </w:r>
      <w:bookmarkEnd w:id="338"/>
      <w:bookmarkEnd w:id="339"/>
      <w:bookmarkEnd w:id="340"/>
      <w:bookmarkEnd w:id="341"/>
      <w:bookmarkEnd w:id="342"/>
      <w:bookmarkEnd w:id="343"/>
      <w:bookmarkEnd w:id="344"/>
    </w:p>
    <w:p>
      <w:pPr>
        <w:keepNext w:val="0"/>
        <w:keepLines w:val="0"/>
        <w:pageBreakBefore w:val="0"/>
        <w:widowControl w:val="0"/>
        <w:shd w:val="clear" w:fill="auto"/>
        <w:kinsoku/>
        <w:wordWrap/>
        <w:overflowPunct/>
        <w:topLinePunct w:val="0"/>
        <w:bidi w:val="0"/>
        <w:snapToGrid/>
        <w:spacing w:line="460" w:lineRule="exact"/>
        <w:ind w:left="0" w:leftChars="0" w:right="0" w:rightChars="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w:t>
      </w:r>
    </w:p>
    <w:p>
      <w:pPr>
        <w:keepNext w:val="0"/>
        <w:keepLines w:val="0"/>
        <w:pageBreakBefore w:val="0"/>
        <w:widowControl w:val="0"/>
        <w:shd w:val="clear" w:fill="auto"/>
        <w:kinsoku/>
        <w:wordWrap/>
        <w:overflowPunct/>
        <w:topLinePunct w:val="0"/>
        <w:bidi w:val="0"/>
        <w:snapToGrid/>
        <w:spacing w:line="460" w:lineRule="exact"/>
        <w:ind w:left="0" w:leftChars="0" w:right="0" w:rightChars="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w:t>
      </w:r>
    </w:p>
    <w:p>
      <w:pPr>
        <w:keepNext w:val="0"/>
        <w:keepLines w:val="0"/>
        <w:pageBreakBefore w:val="0"/>
        <w:widowControl w:val="0"/>
        <w:shd w:val="clear" w:fill="auto"/>
        <w:kinsoku/>
        <w:wordWrap/>
        <w:overflowPunct/>
        <w:topLinePunct w:val="0"/>
        <w:bidi w:val="0"/>
        <w:snapToGrid/>
        <w:spacing w:line="4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》、《中华人民共和国建筑法》及有关法律规定，遵循平等、自愿、公平和诚实信用的原则，双方就</w:t>
      </w:r>
      <w:r>
        <w:rPr>
          <w:rFonts w:hint="eastAsia" w:ascii="宋体" w:hAnsi="宋体" w:eastAsia="宋体" w:cs="宋体"/>
          <w:color w:val="auto"/>
          <w:sz w:val="21"/>
          <w:szCs w:val="21"/>
          <w:highlight w:val="none"/>
          <w:u w:val="single"/>
        </w:rPr>
        <w:t>郑州航空港经济综合实验区会展片区绿地整治工程</w:t>
      </w:r>
      <w:r>
        <w:rPr>
          <w:rFonts w:hint="eastAsia" w:ascii="宋体" w:hAnsi="宋体" w:eastAsia="宋体" w:cs="宋体"/>
          <w:color w:val="auto"/>
          <w:sz w:val="21"/>
          <w:szCs w:val="21"/>
          <w:highlight w:val="none"/>
        </w:rPr>
        <w:t>施工及有关事项协商一致，共同达成如下协议：</w:t>
      </w:r>
    </w:p>
    <w:p>
      <w:pPr>
        <w:keepNext w:val="0"/>
        <w:keepLines w:val="0"/>
        <w:pageBreakBefore w:val="0"/>
        <w:widowControl w:val="0"/>
        <w:shd w:val="clear" w:fill="auto"/>
        <w:kinsoku/>
        <w:wordWrap/>
        <w:overflowPunct/>
        <w:topLinePunct w:val="0"/>
        <w:bidi w:val="0"/>
        <w:snapToGrid/>
        <w:spacing w:before="0" w:beforeLines="0" w:after="0" w:afterLines="0" w:line="460" w:lineRule="exact"/>
        <w:ind w:left="0" w:leftChars="0" w:right="0" w:rightChars="0"/>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345" w:name="_Toc351203481"/>
      <w:r>
        <w:rPr>
          <w:rFonts w:hint="eastAsia" w:ascii="宋体" w:hAnsi="宋体" w:eastAsia="宋体" w:cs="宋体"/>
          <w:b w:val="0"/>
          <w:color w:val="auto"/>
          <w:sz w:val="21"/>
          <w:szCs w:val="21"/>
          <w:highlight w:val="none"/>
        </w:rPr>
        <w:t>一、工程概况</w:t>
      </w:r>
      <w:bookmarkEnd w:id="345"/>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11" w:firstLineChars="196"/>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1.工程名称：</w:t>
      </w:r>
      <w:r>
        <w:rPr>
          <w:rFonts w:hint="eastAsia" w:ascii="宋体" w:hAnsi="宋体" w:eastAsia="宋体" w:cs="宋体"/>
          <w:bCs/>
          <w:color w:val="auto"/>
          <w:sz w:val="21"/>
          <w:szCs w:val="21"/>
          <w:highlight w:val="none"/>
          <w:u w:val="single"/>
        </w:rPr>
        <w:t>郑州航空港经济综合实验区会展片区绿地整治工程。</w:t>
      </w:r>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11" w:firstLineChars="196"/>
        <w:outlineLvl w:val="9"/>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2.工程地点：</w:t>
      </w:r>
      <w:r>
        <w:rPr>
          <w:rFonts w:hint="eastAsia" w:ascii="宋体" w:hAnsi="宋体" w:cs="宋体"/>
          <w:bCs/>
          <w:color w:val="auto"/>
          <w:sz w:val="21"/>
          <w:szCs w:val="21"/>
          <w:highlight w:val="none"/>
          <w:u w:val="single"/>
          <w:lang w:eastAsia="zh-CN"/>
        </w:rPr>
        <w:t>郑州航空港经济综合实验区国际物流会展区滨河东路、迎宾大道、豫州大道、金陵大道围合区域。</w:t>
      </w:r>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11" w:firstLineChars="196"/>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3.工程立项批准文号：</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 xml:space="preserve"> 。</w:t>
      </w:r>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11" w:firstLineChars="196"/>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bCs/>
          <w:color w:val="auto"/>
          <w:sz w:val="21"/>
          <w:szCs w:val="21"/>
          <w:highlight w:val="none"/>
          <w:u w:val="single"/>
        </w:rPr>
        <w:t></w:t>
      </w:r>
      <w:r>
        <w:rPr>
          <w:rFonts w:hint="eastAsia" w:ascii="宋体" w:hAnsi="宋体" w:cs="宋体"/>
          <w:bCs/>
          <w:color w:val="auto"/>
          <w:sz w:val="21"/>
          <w:szCs w:val="21"/>
          <w:highlight w:val="none"/>
          <w:u w:val="single"/>
          <w:lang w:eastAsia="zh-CN"/>
        </w:rPr>
        <w:t>财政资金</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5.</w:t>
      </w:r>
      <w:r>
        <w:rPr>
          <w:rFonts w:hint="eastAsia" w:ascii="宋体" w:hAnsi="宋体" w:eastAsia="宋体" w:cs="宋体"/>
          <w:bCs/>
          <w:color w:val="auto"/>
          <w:kern w:val="2"/>
          <w:sz w:val="21"/>
          <w:szCs w:val="21"/>
          <w:highlight w:val="none"/>
          <w:lang w:val="en-US" w:eastAsia="zh-CN" w:bidi="ar-SA"/>
        </w:rPr>
        <w:t>工程内容：</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包含但不限于</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荆州路简易绿化面积约27.7万平方米</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孙武路、皛店路简易绿化面积约11.7万平方米</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滨河东路简易绿化面积约2.3万平方米</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亳都路简易绿化面积约9.5万平方米</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高铁站周边及匝道桥下简易绿化面积约0.29万平方米</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高铁站周边及匝道桥下临时绿化面积约14.60万平方米。总绿化面积约为66.09万平方米。包含绿化种植、灌</w:t>
      </w:r>
      <w:r>
        <w:rPr>
          <w:rFonts w:hint="eastAsia" w:ascii="宋体" w:hAnsi="宋体" w:eastAsia="宋体" w:cs="宋体"/>
          <w:bCs/>
          <w:color w:val="auto"/>
          <w:sz w:val="21"/>
          <w:szCs w:val="21"/>
          <w:highlight w:val="none"/>
          <w:u w:val="none"/>
        </w:rPr>
        <w:t>溉</w:t>
      </w:r>
      <w:r>
        <w:rPr>
          <w:rFonts w:hint="eastAsia" w:ascii="宋体" w:hAnsi="宋体" w:eastAsia="宋体" w:cs="宋体"/>
          <w:bCs/>
          <w:color w:val="auto"/>
          <w:sz w:val="21"/>
          <w:szCs w:val="21"/>
          <w:highlight w:val="none"/>
          <w:u w:val="none"/>
          <w:lang w:eastAsia="zh-CN"/>
        </w:rPr>
        <w:t>等</w:t>
      </w:r>
      <w:r>
        <w:rPr>
          <w:rFonts w:hint="eastAsia" w:ascii="宋体" w:hAnsi="宋体" w:eastAsia="宋体" w:cs="宋体"/>
          <w:sz w:val="21"/>
          <w:szCs w:val="21"/>
          <w:highlight w:val="none"/>
          <w:u w:val="none"/>
        </w:rPr>
        <w:t>。</w:t>
      </w:r>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11" w:firstLineChars="196"/>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6.工程承包范围：</w:t>
      </w:r>
      <w:r>
        <w:rPr>
          <w:rFonts w:hint="eastAsia" w:ascii="宋体" w:hAnsi="宋体" w:eastAsia="宋体" w:cs="宋体"/>
          <w:bCs/>
          <w:color w:val="auto"/>
          <w:kern w:val="2"/>
          <w:sz w:val="21"/>
          <w:szCs w:val="21"/>
          <w:highlight w:val="none"/>
          <w:u w:val="single"/>
          <w:lang w:val="en-US" w:eastAsia="zh-CN" w:bidi="ar-SA"/>
        </w:rPr>
        <w:t>施工图纸和工程量清单范围内的所有内容。</w:t>
      </w:r>
    </w:p>
    <w:p>
      <w:pPr>
        <w:keepNext w:val="0"/>
        <w:keepLines w:val="0"/>
        <w:pageBreakBefore w:val="0"/>
        <w:widowControl w:val="0"/>
        <w:shd w:val="clear" w:fill="auto"/>
        <w:kinsoku/>
        <w:wordWrap/>
        <w:overflowPunct/>
        <w:topLinePunct w:val="0"/>
        <w:bidi w:val="0"/>
        <w:snapToGrid/>
        <w:spacing w:before="0" w:beforeLines="0" w:after="0" w:afterLines="0" w:line="460" w:lineRule="exact"/>
        <w:ind w:left="0" w:leftChars="0" w:right="0" w:rightChars="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bookmarkStart w:id="346" w:name="_Toc351203482"/>
      <w:r>
        <w:rPr>
          <w:rFonts w:hint="eastAsia" w:ascii="宋体" w:hAnsi="宋体" w:eastAsia="宋体" w:cs="宋体"/>
          <w:b w:val="0"/>
          <w:color w:val="auto"/>
          <w:sz w:val="21"/>
          <w:szCs w:val="21"/>
          <w:highlight w:val="none"/>
        </w:rPr>
        <w:t>二、合同工期</w:t>
      </w:r>
      <w:bookmarkEnd w:id="346"/>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59"/>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计划开工日期：以发包人发出的书面开工通知记载的时间为准。</w:t>
      </w:r>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59"/>
        <w:outlineLvl w:val="9"/>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计划竣工日期：</w:t>
      </w:r>
      <w:r>
        <w:rPr>
          <w:rFonts w:hint="eastAsia" w:ascii="宋体" w:hAnsi="宋体" w:cs="宋体"/>
          <w:color w:val="auto"/>
          <w:sz w:val="21"/>
          <w:szCs w:val="21"/>
          <w:highlight w:val="none"/>
          <w:u w:val="single"/>
          <w:lang w:val="en-US" w:eastAsia="zh-CN"/>
        </w:rPr>
        <w:t xml:space="preserve">               </w:t>
      </w:r>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59"/>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pPr>
        <w:pStyle w:val="9"/>
        <w:keepNext w:val="0"/>
        <w:keepLines w:val="0"/>
        <w:pageBreakBefore w:val="0"/>
        <w:widowControl w:val="0"/>
        <w:shd w:val="clear" w:fill="auto"/>
        <w:kinsoku/>
        <w:wordWrap/>
        <w:overflowPunct/>
        <w:topLinePunct w:val="0"/>
        <w:bidi w:val="0"/>
        <w:snapToGrid/>
        <w:spacing w:line="460" w:lineRule="exact"/>
        <w:ind w:left="0" w:leftChars="0" w:right="0" w:rightChars="0" w:firstLine="420" w:firstLineChars="200"/>
        <w:jc w:val="both"/>
        <w:outlineLvl w:val="9"/>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承包人在签订合同时已考虑法定节假日及农忙期间的施工组织，不能以此为理由而影响工程进度与劳动力，因承包人责任，不能按期开工或中途无故停工，影响工期，工期不顺延。</w:t>
      </w:r>
    </w:p>
    <w:p>
      <w:pPr>
        <w:pStyle w:val="9"/>
        <w:keepNext w:val="0"/>
        <w:keepLines w:val="0"/>
        <w:pageBreakBefore w:val="0"/>
        <w:widowControl w:val="0"/>
        <w:shd w:val="clear" w:fill="auto"/>
        <w:kinsoku/>
        <w:wordWrap/>
        <w:overflowPunct/>
        <w:topLinePunct w:val="0"/>
        <w:bidi w:val="0"/>
        <w:snapToGrid/>
        <w:spacing w:line="460" w:lineRule="exact"/>
        <w:ind w:left="0" w:leftChars="0" w:right="0" w:rightChars="0" w:firstLine="420" w:firstLineChars="200"/>
        <w:jc w:val="both"/>
        <w:outlineLvl w:val="9"/>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在合同执行过程中，由于承包人劳动力不够、机械设备数量不足，材料供应不足、管理不善等原因造成工期延误或可能造成工期延误时，发包人有权采取劳动力支援、机械设备支援、管理人员支援等补救措施来保证本工程工期控制点的完成，由此所发生的一切费用均由承包人负责，并在发包人应付给承包人的工程款中直接扣除。</w:t>
      </w:r>
    </w:p>
    <w:p>
      <w:pPr>
        <w:keepNext w:val="0"/>
        <w:keepLines w:val="0"/>
        <w:pageBreakBefore w:val="0"/>
        <w:widowControl w:val="0"/>
        <w:shd w:val="clear" w:fill="auto"/>
        <w:kinsoku/>
        <w:wordWrap/>
        <w:overflowPunct/>
        <w:topLinePunct w:val="0"/>
        <w:bidi w:val="0"/>
        <w:snapToGrid/>
        <w:spacing w:before="0" w:beforeLines="0" w:after="0" w:afterLines="0" w:line="460" w:lineRule="exact"/>
        <w:ind w:left="0" w:leftChars="0" w:right="0" w:rightChars="0"/>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347" w:name="_Toc351203483"/>
      <w:r>
        <w:rPr>
          <w:rFonts w:hint="eastAsia" w:ascii="宋体" w:hAnsi="宋体" w:eastAsia="宋体" w:cs="宋体"/>
          <w:b w:val="0"/>
          <w:color w:val="auto"/>
          <w:sz w:val="21"/>
          <w:szCs w:val="21"/>
          <w:highlight w:val="none"/>
        </w:rPr>
        <w:t>三、质量标准</w:t>
      </w:r>
      <w:bookmarkEnd w:id="347"/>
    </w:p>
    <w:p>
      <w:pPr>
        <w:pStyle w:val="9"/>
        <w:keepNext w:val="0"/>
        <w:keepLines w:val="0"/>
        <w:pageBreakBefore w:val="0"/>
        <w:widowControl w:val="0"/>
        <w:shd w:val="clear" w:fill="auto"/>
        <w:kinsoku/>
        <w:wordWrap/>
        <w:overflowPunct/>
        <w:topLinePunct w:val="0"/>
        <w:bidi w:val="0"/>
        <w:snapToGrid/>
        <w:spacing w:line="460" w:lineRule="exact"/>
        <w:ind w:left="0" w:leftChars="0" w:right="0" w:rightChars="0" w:firstLine="420" w:firstLineChars="200"/>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工程质量符合</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标准。</w:t>
      </w:r>
    </w:p>
    <w:p>
      <w:pPr>
        <w:keepNext w:val="0"/>
        <w:keepLines w:val="0"/>
        <w:pageBreakBefore w:val="0"/>
        <w:widowControl w:val="0"/>
        <w:shd w:val="clear" w:fill="auto"/>
        <w:kinsoku/>
        <w:wordWrap/>
        <w:overflowPunct/>
        <w:topLinePunct w:val="0"/>
        <w:bidi w:val="0"/>
        <w:snapToGrid/>
        <w:spacing w:before="0" w:beforeLines="0" w:after="0" w:afterLines="0" w:line="460" w:lineRule="exact"/>
        <w:ind w:left="0" w:leftChars="0" w:right="0" w:rightChars="0"/>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348" w:name="_Toc351203484"/>
      <w:r>
        <w:rPr>
          <w:rFonts w:hint="eastAsia" w:ascii="宋体" w:hAnsi="宋体" w:eastAsia="宋体" w:cs="宋体"/>
          <w:b w:val="0"/>
          <w:color w:val="auto"/>
          <w:sz w:val="21"/>
          <w:szCs w:val="21"/>
          <w:highlight w:val="none"/>
        </w:rPr>
        <w:t>四、签约合同价与合同价格形式</w:t>
      </w:r>
      <w:bookmarkEnd w:id="348"/>
      <w:r>
        <w:rPr>
          <w:rFonts w:hint="eastAsia" w:ascii="宋体" w:hAnsi="宋体" w:eastAsia="宋体" w:cs="宋体"/>
          <w:b w:val="0"/>
          <w:color w:val="auto"/>
          <w:sz w:val="21"/>
          <w:szCs w:val="21"/>
          <w:highlight w:val="none"/>
        </w:rPr>
        <w:tab/>
      </w:r>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pPr>
        <w:keepNext w:val="0"/>
        <w:keepLines w:val="0"/>
        <w:pageBreakBefore w:val="0"/>
        <w:widowControl w:val="0"/>
        <w:shd w:val="clear" w:fill="auto"/>
        <w:kinsoku/>
        <w:wordWrap/>
        <w:overflowPunct/>
        <w:topLinePunct w:val="0"/>
        <w:bidi w:val="0"/>
        <w:snapToGrid/>
        <w:spacing w:line="460" w:lineRule="exact"/>
        <w:ind w:left="0" w:leftChars="0" w:right="0" w:rightChars="0" w:firstLine="525" w:firstLineChars="250"/>
        <w:outlineLvl w:val="9"/>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税率：</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fill="auto"/>
        <w:kinsoku/>
        <w:wordWrap/>
        <w:overflowPunct/>
        <w:topLinePunct w:val="0"/>
        <w:bidi w:val="0"/>
        <w:snapToGrid/>
        <w:spacing w:line="460" w:lineRule="exact"/>
        <w:ind w:left="0" w:leftChars="0" w:right="0" w:rightChars="0"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pPr>
        <w:keepNext w:val="0"/>
        <w:keepLines w:val="0"/>
        <w:pageBreakBefore w:val="0"/>
        <w:widowControl w:val="0"/>
        <w:shd w:val="clear" w:fill="auto"/>
        <w:kinsoku/>
        <w:wordWrap/>
        <w:overflowPunct/>
        <w:topLinePunct w:val="0"/>
        <w:bidi w:val="0"/>
        <w:snapToGrid/>
        <w:spacing w:line="460" w:lineRule="exact"/>
        <w:ind w:left="0" w:leftChars="0" w:right="0" w:rightChars="0" w:firstLine="945" w:firstLineChars="4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keepNext w:val="0"/>
        <w:keepLines w:val="0"/>
        <w:pageBreakBefore w:val="0"/>
        <w:widowControl w:val="0"/>
        <w:numPr>
          <w:ilvl w:val="0"/>
          <w:numId w:val="4"/>
        </w:numPr>
        <w:shd w:val="clear" w:fill="auto"/>
        <w:kinsoku/>
        <w:wordWrap/>
        <w:overflowPunct/>
        <w:topLinePunct w:val="0"/>
        <w:bidi w:val="0"/>
        <w:snapToGrid/>
        <w:spacing w:line="460" w:lineRule="exact"/>
        <w:ind w:left="0" w:leftChars="0" w:right="0" w:rightChars="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pPr>
        <w:keepNext w:val="0"/>
        <w:keepLines w:val="0"/>
        <w:pageBreakBefore w:val="0"/>
        <w:widowControl w:val="0"/>
        <w:shd w:val="clear" w:fill="auto"/>
        <w:kinsoku/>
        <w:wordWrap/>
        <w:overflowPunct/>
        <w:topLinePunct w:val="0"/>
        <w:bidi w:val="0"/>
        <w:snapToGrid/>
        <w:spacing w:line="460" w:lineRule="exact"/>
        <w:ind w:left="0" w:leftChars="0" w:right="0" w:rightChars="0" w:firstLine="945" w:firstLineChars="4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pPr>
        <w:keepNext w:val="0"/>
        <w:keepLines w:val="0"/>
        <w:pageBreakBefore w:val="0"/>
        <w:widowControl w:val="0"/>
        <w:shd w:val="clear" w:fill="auto"/>
        <w:kinsoku/>
        <w:wordWrap/>
        <w:overflowPunct/>
        <w:topLinePunct w:val="0"/>
        <w:bidi w:val="0"/>
        <w:snapToGrid/>
        <w:spacing w:line="460" w:lineRule="exact"/>
        <w:ind w:left="0" w:leftChars="0" w:right="0" w:rightChars="0" w:firstLine="945" w:firstLineChars="4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pPr>
        <w:keepNext w:val="0"/>
        <w:keepLines w:val="0"/>
        <w:pageBreakBefore w:val="0"/>
        <w:widowControl w:val="0"/>
        <w:shd w:val="clear" w:fill="auto"/>
        <w:kinsoku/>
        <w:wordWrap/>
        <w:overflowPunct/>
        <w:topLinePunct w:val="0"/>
        <w:bidi w:val="0"/>
        <w:snapToGrid/>
        <w:spacing w:line="460" w:lineRule="exact"/>
        <w:ind w:left="0" w:leftChars="0" w:right="0" w:rightChars="0" w:firstLine="945" w:firstLineChars="4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keepNext w:val="0"/>
        <w:keepLines w:val="0"/>
        <w:pageBreakBefore w:val="0"/>
        <w:widowControl w:val="0"/>
        <w:numPr>
          <w:ilvl w:val="0"/>
          <w:numId w:val="4"/>
        </w:numPr>
        <w:shd w:val="clear" w:fill="auto"/>
        <w:kinsoku/>
        <w:wordWrap/>
        <w:overflowPunct/>
        <w:topLinePunct w:val="0"/>
        <w:bidi w:val="0"/>
        <w:snapToGrid/>
        <w:spacing w:line="460" w:lineRule="exact"/>
        <w:ind w:left="0" w:leftChars="0" w:right="0" w:rightChars="0" w:firstLine="420"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合同价格形式：</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fill="auto"/>
        <w:kinsoku/>
        <w:wordWrap/>
        <w:overflowPunct/>
        <w:topLinePunct w:val="0"/>
        <w:bidi w:val="0"/>
        <w:snapToGrid/>
        <w:spacing w:before="0" w:beforeLines="0" w:after="0" w:afterLines="0" w:line="460" w:lineRule="exact"/>
        <w:ind w:left="0" w:leftChars="0" w:right="0" w:rightChars="0"/>
        <w:outlineLvl w:val="9"/>
        <w:rPr>
          <w:rFonts w:hint="eastAsia" w:ascii="宋体" w:hAnsi="宋体" w:eastAsia="宋体" w:cs="宋体"/>
          <w:b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349" w:name="_Toc351203485"/>
      <w:r>
        <w:rPr>
          <w:rFonts w:hint="eastAsia" w:ascii="宋体" w:hAnsi="宋体" w:eastAsia="宋体" w:cs="宋体"/>
          <w:b w:val="0"/>
          <w:color w:val="auto"/>
          <w:sz w:val="21"/>
          <w:szCs w:val="21"/>
          <w:highlight w:val="none"/>
        </w:rPr>
        <w:t>五、</w:t>
      </w:r>
      <w:bookmarkEnd w:id="349"/>
      <w:r>
        <w:rPr>
          <w:rFonts w:hint="eastAsia" w:ascii="宋体" w:hAnsi="宋体" w:eastAsia="宋体" w:cs="宋体"/>
          <w:b w:val="0"/>
          <w:color w:val="auto"/>
          <w:sz w:val="21"/>
          <w:szCs w:val="21"/>
          <w:highlight w:val="none"/>
        </w:rPr>
        <w:t>项目经理</w:t>
      </w:r>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keepNext w:val="0"/>
        <w:keepLines w:val="0"/>
        <w:pageBreakBefore w:val="0"/>
        <w:widowControl w:val="0"/>
        <w:shd w:val="clear" w:fill="auto"/>
        <w:kinsoku/>
        <w:wordWrap/>
        <w:overflowPunct/>
        <w:topLinePunct w:val="0"/>
        <w:bidi w:val="0"/>
        <w:snapToGrid/>
        <w:spacing w:before="0" w:beforeLines="0" w:after="0" w:afterLines="0" w:line="460" w:lineRule="exact"/>
        <w:ind w:left="0" w:leftChars="0" w:right="0" w:rightChars="0"/>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350" w:name="_Toc351203486"/>
      <w:r>
        <w:rPr>
          <w:rFonts w:hint="eastAsia" w:ascii="宋体" w:hAnsi="宋体" w:eastAsia="宋体" w:cs="宋体"/>
          <w:b w:val="0"/>
          <w:color w:val="auto"/>
          <w:sz w:val="21"/>
          <w:szCs w:val="21"/>
          <w:highlight w:val="none"/>
        </w:rPr>
        <w:t>六、合同文件构成</w:t>
      </w:r>
      <w:bookmarkEnd w:id="350"/>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pPr>
        <w:keepNext w:val="0"/>
        <w:keepLines w:val="0"/>
        <w:pageBreakBefore w:val="0"/>
        <w:widowControl w:val="0"/>
        <w:shd w:val="clear" w:fill="auto"/>
        <w:kinsoku/>
        <w:wordWrap/>
        <w:overflowPunct/>
        <w:topLinePunct w:val="0"/>
        <w:autoSpaceDE w:val="0"/>
        <w:autoSpaceDN w:val="0"/>
        <w:bidi w:val="0"/>
        <w:adjustRightInd w:val="0"/>
        <w:snapToGrid/>
        <w:spacing w:line="460" w:lineRule="exact"/>
        <w:ind w:left="0" w:leftChars="0" w:right="0" w:rightChars="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（1）中标通知书（如果有）；</w:t>
      </w:r>
    </w:p>
    <w:p>
      <w:pPr>
        <w:keepNext w:val="0"/>
        <w:keepLines w:val="0"/>
        <w:pageBreakBefore w:val="0"/>
        <w:widowControl w:val="0"/>
        <w:shd w:val="clear" w:fill="auto"/>
        <w:kinsoku/>
        <w:wordWrap/>
        <w:overflowPunct/>
        <w:topLinePunct w:val="0"/>
        <w:autoSpaceDE w:val="0"/>
        <w:autoSpaceDN w:val="0"/>
        <w:bidi w:val="0"/>
        <w:adjustRightInd w:val="0"/>
        <w:snapToGrid/>
        <w:spacing w:line="460" w:lineRule="exact"/>
        <w:ind w:left="0" w:leftChars="0" w:right="0" w:rightChars="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（2）投标函及其附录（如果有）； </w:t>
      </w:r>
    </w:p>
    <w:p>
      <w:pPr>
        <w:keepNext w:val="0"/>
        <w:keepLines w:val="0"/>
        <w:pageBreakBefore w:val="0"/>
        <w:widowControl w:val="0"/>
        <w:shd w:val="clear" w:fill="auto"/>
        <w:kinsoku/>
        <w:wordWrap/>
        <w:overflowPunct/>
        <w:topLinePunct w:val="0"/>
        <w:autoSpaceDE w:val="0"/>
        <w:autoSpaceDN w:val="0"/>
        <w:bidi w:val="0"/>
        <w:adjustRightInd w:val="0"/>
        <w:snapToGrid/>
        <w:spacing w:line="460" w:lineRule="exact"/>
        <w:ind w:left="0" w:leftChars="0" w:right="0" w:rightChars="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pPr>
        <w:keepNext w:val="0"/>
        <w:keepLines w:val="0"/>
        <w:pageBreakBefore w:val="0"/>
        <w:widowControl w:val="0"/>
        <w:shd w:val="clear" w:fill="auto"/>
        <w:kinsoku/>
        <w:wordWrap/>
        <w:overflowPunct/>
        <w:topLinePunct w:val="0"/>
        <w:autoSpaceDE w:val="0"/>
        <w:autoSpaceDN w:val="0"/>
        <w:bidi w:val="0"/>
        <w:adjustRightInd w:val="0"/>
        <w:snapToGrid/>
        <w:spacing w:line="460" w:lineRule="exact"/>
        <w:ind w:left="0" w:leftChars="0" w:right="0" w:rightChars="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pPr>
        <w:keepNext w:val="0"/>
        <w:keepLines w:val="0"/>
        <w:pageBreakBefore w:val="0"/>
        <w:widowControl w:val="0"/>
        <w:shd w:val="clear" w:fill="auto"/>
        <w:kinsoku/>
        <w:wordWrap/>
        <w:overflowPunct/>
        <w:topLinePunct w:val="0"/>
        <w:autoSpaceDE w:val="0"/>
        <w:autoSpaceDN w:val="0"/>
        <w:bidi w:val="0"/>
        <w:adjustRightInd w:val="0"/>
        <w:snapToGrid/>
        <w:spacing w:line="460" w:lineRule="exact"/>
        <w:ind w:left="0" w:leftChars="0" w:right="0" w:rightChars="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pPr>
        <w:keepNext w:val="0"/>
        <w:keepLines w:val="0"/>
        <w:pageBreakBefore w:val="0"/>
        <w:widowControl w:val="0"/>
        <w:shd w:val="clear" w:fill="auto"/>
        <w:kinsoku/>
        <w:wordWrap/>
        <w:overflowPunct/>
        <w:topLinePunct w:val="0"/>
        <w:autoSpaceDE w:val="0"/>
        <w:autoSpaceDN w:val="0"/>
        <w:bidi w:val="0"/>
        <w:adjustRightInd w:val="0"/>
        <w:snapToGrid/>
        <w:spacing w:line="460" w:lineRule="exact"/>
        <w:ind w:left="0" w:leftChars="0" w:right="0" w:rightChars="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pPr>
        <w:keepNext w:val="0"/>
        <w:keepLines w:val="0"/>
        <w:pageBreakBefore w:val="0"/>
        <w:widowControl w:val="0"/>
        <w:shd w:val="clear" w:fill="auto"/>
        <w:kinsoku/>
        <w:wordWrap/>
        <w:overflowPunct/>
        <w:topLinePunct w:val="0"/>
        <w:autoSpaceDE w:val="0"/>
        <w:autoSpaceDN w:val="0"/>
        <w:bidi w:val="0"/>
        <w:adjustRightInd w:val="0"/>
        <w:snapToGrid/>
        <w:spacing w:line="460" w:lineRule="exact"/>
        <w:ind w:left="0" w:leftChars="0" w:right="0" w:rightChars="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pPr>
        <w:keepNext w:val="0"/>
        <w:keepLines w:val="0"/>
        <w:pageBreakBefore w:val="0"/>
        <w:widowControl w:val="0"/>
        <w:shd w:val="clear" w:fill="auto"/>
        <w:kinsoku/>
        <w:wordWrap/>
        <w:overflowPunct/>
        <w:topLinePunct w:val="0"/>
        <w:autoSpaceDE w:val="0"/>
        <w:autoSpaceDN w:val="0"/>
        <w:bidi w:val="0"/>
        <w:adjustRightInd w:val="0"/>
        <w:snapToGrid/>
        <w:spacing w:line="460" w:lineRule="exact"/>
        <w:ind w:left="0" w:leftChars="0" w:right="0" w:rightChars="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pPr>
        <w:keepNext w:val="0"/>
        <w:keepLines w:val="0"/>
        <w:pageBreakBefore w:val="0"/>
        <w:widowControl w:val="0"/>
        <w:shd w:val="clear" w:fill="auto"/>
        <w:kinsoku/>
        <w:wordWrap/>
        <w:overflowPunct/>
        <w:topLinePunct w:val="0"/>
        <w:autoSpaceDE w:val="0"/>
        <w:autoSpaceDN w:val="0"/>
        <w:bidi w:val="0"/>
        <w:adjustRightInd w:val="0"/>
        <w:snapToGrid/>
        <w:spacing w:line="460" w:lineRule="exact"/>
        <w:ind w:left="0" w:leftChars="0" w:right="0" w:rightChars="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pPr>
        <w:keepNext w:val="0"/>
        <w:keepLines w:val="0"/>
        <w:pageBreakBefore w:val="0"/>
        <w:widowControl w:val="0"/>
        <w:shd w:val="clear" w:fill="auto"/>
        <w:kinsoku/>
        <w:wordWrap/>
        <w:overflowPunct/>
        <w:topLinePunct w:val="0"/>
        <w:autoSpaceDE w:val="0"/>
        <w:autoSpaceDN w:val="0"/>
        <w:bidi w:val="0"/>
        <w:adjustRightInd w:val="0"/>
        <w:snapToGrid/>
        <w:spacing w:line="460" w:lineRule="exact"/>
        <w:ind w:left="0" w:leftChars="0" w:right="0" w:rightChars="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shd w:val="clear" w:fill="auto"/>
        <w:kinsoku/>
        <w:wordWrap/>
        <w:overflowPunct/>
        <w:topLinePunct w:val="0"/>
        <w:bidi w:val="0"/>
        <w:snapToGrid/>
        <w:spacing w:before="0" w:beforeLines="0" w:after="0" w:afterLines="0" w:line="460" w:lineRule="exact"/>
        <w:ind w:left="0" w:leftChars="0" w:right="0" w:rightChars="0"/>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351" w:name="_Toc351203487"/>
      <w:r>
        <w:rPr>
          <w:rFonts w:hint="eastAsia" w:ascii="宋体" w:hAnsi="宋体" w:eastAsia="宋体" w:cs="宋体"/>
          <w:b w:val="0"/>
          <w:color w:val="auto"/>
          <w:sz w:val="21"/>
          <w:szCs w:val="21"/>
          <w:highlight w:val="none"/>
        </w:rPr>
        <w:t>七、承诺</w:t>
      </w:r>
      <w:bookmarkEnd w:id="351"/>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pPr>
        <w:keepNext w:val="0"/>
        <w:keepLines w:val="0"/>
        <w:pageBreakBefore w:val="0"/>
        <w:widowControl w:val="0"/>
        <w:shd w:val="clear" w:fill="auto"/>
        <w:kinsoku/>
        <w:wordWrap/>
        <w:overflowPunct/>
        <w:topLinePunct w:val="0"/>
        <w:bidi w:val="0"/>
        <w:snapToGrid/>
        <w:spacing w:line="460" w:lineRule="exact"/>
        <w:ind w:left="0" w:leftChars="0" w:right="0" w:rightChars="0"/>
        <w:outlineLvl w:val="9"/>
        <w:rPr>
          <w:rFonts w:hint="eastAsia" w:ascii="宋体" w:hAnsi="宋体" w:eastAsia="宋体" w:cs="宋体"/>
          <w:bCs/>
          <w:color w:val="auto"/>
          <w:sz w:val="21"/>
          <w:szCs w:val="21"/>
          <w:highlight w:val="none"/>
        </w:rPr>
      </w:pPr>
      <w:bookmarkStart w:id="352" w:name="_Toc351203488"/>
      <w:r>
        <w:rPr>
          <w:rFonts w:hint="eastAsia" w:ascii="宋体" w:hAnsi="宋体" w:eastAsia="宋体" w:cs="宋体"/>
          <w:b/>
          <w:color w:val="auto"/>
          <w:sz w:val="21"/>
          <w:szCs w:val="21"/>
          <w:highlight w:val="none"/>
        </w:rPr>
        <w:t xml:space="preserve">    </w:t>
      </w:r>
      <w:r>
        <w:rPr>
          <w:rFonts w:hint="eastAsia" w:ascii="宋体" w:hAnsi="宋体" w:eastAsia="宋体" w:cs="宋体"/>
          <w:b w:val="0"/>
          <w:bCs/>
          <w:color w:val="auto"/>
          <w:sz w:val="21"/>
          <w:szCs w:val="21"/>
          <w:highlight w:val="none"/>
        </w:rPr>
        <w:t>八、词语含义</w:t>
      </w:r>
      <w:bookmarkEnd w:id="352"/>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pPr>
        <w:keepNext w:val="0"/>
        <w:keepLines w:val="0"/>
        <w:pageBreakBefore w:val="0"/>
        <w:widowControl w:val="0"/>
        <w:shd w:val="clear" w:fill="auto"/>
        <w:kinsoku/>
        <w:wordWrap/>
        <w:overflowPunct/>
        <w:topLinePunct w:val="0"/>
        <w:bidi w:val="0"/>
        <w:snapToGrid/>
        <w:spacing w:before="0" w:beforeLines="0" w:after="0" w:afterLines="0" w:line="460" w:lineRule="exact"/>
        <w:ind w:left="0" w:leftChars="0" w:right="0" w:rightChars="0"/>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353" w:name="_Toc351203489"/>
      <w:r>
        <w:rPr>
          <w:rFonts w:hint="eastAsia" w:ascii="宋体" w:hAnsi="宋体" w:eastAsia="宋体" w:cs="宋体"/>
          <w:b w:val="0"/>
          <w:color w:val="auto"/>
          <w:sz w:val="21"/>
          <w:szCs w:val="21"/>
          <w:highlight w:val="none"/>
        </w:rPr>
        <w:t>九、签订时间</w:t>
      </w:r>
      <w:bookmarkEnd w:id="353"/>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pPr>
        <w:keepNext w:val="0"/>
        <w:keepLines w:val="0"/>
        <w:pageBreakBefore w:val="0"/>
        <w:widowControl w:val="0"/>
        <w:shd w:val="clear" w:fill="auto"/>
        <w:kinsoku/>
        <w:wordWrap/>
        <w:overflowPunct/>
        <w:topLinePunct w:val="0"/>
        <w:bidi w:val="0"/>
        <w:snapToGrid/>
        <w:spacing w:before="0" w:beforeLines="0" w:after="0" w:afterLines="0" w:line="460" w:lineRule="exact"/>
        <w:ind w:left="0" w:leftChars="0" w:right="0" w:rightChars="0"/>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354" w:name="_Toc351203490"/>
      <w:r>
        <w:rPr>
          <w:rFonts w:hint="eastAsia" w:ascii="宋体" w:hAnsi="宋体" w:eastAsia="宋体" w:cs="宋体"/>
          <w:b w:val="0"/>
          <w:color w:val="auto"/>
          <w:sz w:val="21"/>
          <w:szCs w:val="21"/>
          <w:highlight w:val="none"/>
        </w:rPr>
        <w:t>十、签订地点</w:t>
      </w:r>
      <w:bookmarkEnd w:id="354"/>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pPr>
        <w:keepNext w:val="0"/>
        <w:keepLines w:val="0"/>
        <w:pageBreakBefore w:val="0"/>
        <w:widowControl w:val="0"/>
        <w:shd w:val="clear" w:fill="auto"/>
        <w:kinsoku/>
        <w:wordWrap/>
        <w:overflowPunct/>
        <w:topLinePunct w:val="0"/>
        <w:bidi w:val="0"/>
        <w:snapToGrid/>
        <w:spacing w:before="0" w:beforeLines="0" w:after="0" w:afterLines="0" w:line="460" w:lineRule="exact"/>
        <w:ind w:left="0" w:leftChars="0" w:right="0" w:rightChars="0"/>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355" w:name="_Toc351203491"/>
      <w:r>
        <w:rPr>
          <w:rFonts w:hint="eastAsia" w:ascii="宋体" w:hAnsi="宋体" w:eastAsia="宋体" w:cs="宋体"/>
          <w:b w:val="0"/>
          <w:color w:val="auto"/>
          <w:sz w:val="21"/>
          <w:szCs w:val="21"/>
          <w:highlight w:val="none"/>
        </w:rPr>
        <w:t>十一、补充协议</w:t>
      </w:r>
      <w:bookmarkEnd w:id="355"/>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pPr>
        <w:keepNext w:val="0"/>
        <w:keepLines w:val="0"/>
        <w:pageBreakBefore w:val="0"/>
        <w:widowControl w:val="0"/>
        <w:shd w:val="clear" w:fill="auto"/>
        <w:kinsoku/>
        <w:wordWrap/>
        <w:overflowPunct/>
        <w:topLinePunct w:val="0"/>
        <w:bidi w:val="0"/>
        <w:snapToGrid/>
        <w:spacing w:before="0" w:beforeLines="0" w:after="0" w:afterLines="0" w:line="460" w:lineRule="exact"/>
        <w:ind w:left="0" w:leftChars="0" w:right="0" w:rightChars="0"/>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356" w:name="_Toc351203492"/>
      <w:r>
        <w:rPr>
          <w:rFonts w:hint="eastAsia" w:ascii="宋体" w:hAnsi="宋体" w:eastAsia="宋体" w:cs="宋体"/>
          <w:b w:val="0"/>
          <w:color w:val="auto"/>
          <w:sz w:val="21"/>
          <w:szCs w:val="21"/>
          <w:highlight w:val="none"/>
        </w:rPr>
        <w:t>十二、合同生效</w:t>
      </w:r>
      <w:bookmarkEnd w:id="356"/>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双方签字盖章后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生效。</w:t>
      </w:r>
    </w:p>
    <w:p>
      <w:pPr>
        <w:keepNext w:val="0"/>
        <w:keepLines w:val="0"/>
        <w:pageBreakBefore w:val="0"/>
        <w:widowControl w:val="0"/>
        <w:shd w:val="clear" w:fill="auto"/>
        <w:kinsoku/>
        <w:wordWrap/>
        <w:overflowPunct/>
        <w:topLinePunct w:val="0"/>
        <w:bidi w:val="0"/>
        <w:snapToGrid/>
        <w:spacing w:before="0" w:beforeLines="0" w:after="0" w:afterLines="0" w:line="460" w:lineRule="exact"/>
        <w:ind w:left="0" w:leftChars="0" w:right="0" w:rightChars="0"/>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357" w:name="_Toc351203493"/>
      <w:r>
        <w:rPr>
          <w:rFonts w:hint="eastAsia" w:ascii="宋体" w:hAnsi="宋体" w:eastAsia="宋体" w:cs="宋体"/>
          <w:b w:val="0"/>
          <w:color w:val="auto"/>
          <w:sz w:val="21"/>
          <w:szCs w:val="21"/>
          <w:highlight w:val="none"/>
        </w:rPr>
        <w:t>十三、合同份数</w:t>
      </w:r>
      <w:bookmarkEnd w:id="357"/>
    </w:p>
    <w:p>
      <w:pPr>
        <w:keepNext w:val="0"/>
        <w:keepLines w:val="0"/>
        <w:pageBreakBefore w:val="0"/>
        <w:widowControl w:val="0"/>
        <w:shd w:val="clear" w:fill="auto"/>
        <w:kinsoku/>
        <w:wordWrap/>
        <w:overflowPunct/>
        <w:topLinePunct w:val="0"/>
        <w:bidi w:val="0"/>
        <w:snapToGrid/>
        <w:spacing w:line="460" w:lineRule="exact"/>
        <w:ind w:left="0" w:leftChars="0" w:right="0" w:rightChars="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捌</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贰</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p>
      <w:pPr>
        <w:keepNext w:val="0"/>
        <w:keepLines w:val="0"/>
        <w:pageBreakBefore w:val="0"/>
        <w:widowControl/>
        <w:shd w:val="clear"/>
        <w:kinsoku/>
        <w:wordWrap/>
        <w:overflowPunct/>
        <w:topLinePunct w:val="0"/>
        <w:bidi w:val="0"/>
        <w:snapToGrid/>
        <w:spacing w:line="240" w:lineRule="auto"/>
        <w:ind w:left="0" w:leftChars="0" w:right="0"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keepNext w:val="0"/>
        <w:keepLines w:val="0"/>
        <w:pageBreakBefore w:val="0"/>
        <w:widowControl w:val="0"/>
        <w:shd w:val="clear" w:fill="auto"/>
        <w:kinsoku/>
        <w:wordWrap/>
        <w:overflowPunct/>
        <w:topLinePunct w:val="0"/>
        <w:bidi w:val="0"/>
        <w:snapToGrid/>
        <w:spacing w:line="460" w:lineRule="exact"/>
        <w:ind w:left="0" w:leftChars="0" w:right="0"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  (公章)             承包人：  (公章)</w:t>
      </w:r>
    </w:p>
    <w:p>
      <w:pPr>
        <w:keepNext w:val="0"/>
        <w:keepLines w:val="0"/>
        <w:pageBreakBefore w:val="0"/>
        <w:widowControl w:val="0"/>
        <w:shd w:val="clear" w:fill="auto"/>
        <w:kinsoku/>
        <w:wordWrap/>
        <w:overflowPunct/>
        <w:topLinePunct w:val="0"/>
        <w:bidi w:val="0"/>
        <w:snapToGrid/>
        <w:spacing w:line="460" w:lineRule="exact"/>
        <w:ind w:left="0" w:leftChars="0" w:right="0" w:rightChars="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pPr>
        <w:shd w:val="clear" w:fill="auto"/>
        <w:spacing w:line="360" w:lineRule="auto"/>
        <w:contextualSpacing/>
        <w:rPr>
          <w:rFonts w:ascii="宋体" w:hAnsi="宋体" w:cs="宋体"/>
          <w:szCs w:val="21"/>
          <w:highlight w:val="none"/>
        </w:rPr>
      </w:pPr>
      <w:bookmarkStart w:id="358" w:name="_Toc351203494"/>
      <w:r>
        <w:rPr>
          <w:rFonts w:hint="eastAsia" w:ascii="宋体" w:hAnsi="宋体" w:cs="宋体"/>
          <w:szCs w:val="21"/>
          <w:highlight w:val="none"/>
        </w:rPr>
        <w:t xml:space="preserve">发包人：  (公章)                             承包人：  (公章)                                 </w:t>
      </w:r>
    </w:p>
    <w:p>
      <w:pPr>
        <w:shd w:val="clear" w:fill="auto"/>
        <w:spacing w:line="360" w:lineRule="auto"/>
        <w:contextualSpacing/>
        <w:rPr>
          <w:rFonts w:ascii="宋体" w:hAnsi="宋体" w:cs="宋体"/>
          <w:szCs w:val="21"/>
          <w:highlight w:val="none"/>
        </w:rPr>
      </w:pPr>
      <w:r>
        <w:rPr>
          <w:rFonts w:hint="eastAsia" w:ascii="宋体" w:hAnsi="宋体" w:cs="宋体"/>
          <w:szCs w:val="21"/>
          <w:highlight w:val="none"/>
        </w:rPr>
        <w:t>法定代表人或其委托代理人：（签字）           法定代表人或其委托代理人：（签字）</w:t>
      </w:r>
    </w:p>
    <w:p>
      <w:pPr>
        <w:shd w:val="clear" w:fill="auto"/>
        <w:spacing w:line="360" w:lineRule="auto"/>
        <w:contextualSpacing/>
        <w:rPr>
          <w:rFonts w:ascii="宋体" w:hAnsi="宋体" w:cs="宋体"/>
          <w:szCs w:val="21"/>
          <w:highlight w:val="none"/>
        </w:rPr>
      </w:pPr>
      <w:r>
        <w:rPr>
          <w:rFonts w:hint="eastAsia" w:ascii="宋体" w:hAnsi="宋体" w:cs="宋体"/>
          <w:szCs w:val="21"/>
          <w:highlight w:val="none"/>
        </w:rPr>
        <w:t>社会信用代码：</w:t>
      </w:r>
      <w:r>
        <w:rPr>
          <w:rFonts w:hint="eastAsia" w:ascii="宋体" w:hAnsi="宋体" w:cs="宋体"/>
          <w:szCs w:val="21"/>
          <w:highlight w:val="none"/>
          <w:u w:val="single"/>
        </w:rPr>
        <w:t xml:space="preserve">         </w:t>
      </w:r>
      <w:r>
        <w:rPr>
          <w:rFonts w:hint="eastAsia" w:ascii="宋体" w:hAnsi="宋体" w:cs="宋体"/>
          <w:szCs w:val="21"/>
          <w:highlight w:val="none"/>
        </w:rPr>
        <w:t xml:space="preserve">                  社会信用代码：</w:t>
      </w:r>
      <w:r>
        <w:rPr>
          <w:rFonts w:hint="eastAsia" w:ascii="宋体" w:hAnsi="宋体" w:cs="宋体"/>
          <w:szCs w:val="21"/>
          <w:highlight w:val="none"/>
          <w:u w:val="single"/>
        </w:rPr>
        <w:t xml:space="preserve">               </w:t>
      </w:r>
    </w:p>
    <w:p>
      <w:pPr>
        <w:shd w:val="clear" w:fill="auto"/>
        <w:spacing w:line="360" w:lineRule="auto"/>
        <w:contextualSpacing/>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single"/>
        </w:rPr>
        <w:t xml:space="preserve">                     </w:t>
      </w:r>
      <w:r>
        <w:rPr>
          <w:rFonts w:hint="eastAsia" w:ascii="宋体" w:hAnsi="宋体" w:cs="宋体"/>
          <w:szCs w:val="21"/>
          <w:highlight w:val="none"/>
        </w:rPr>
        <w:t xml:space="preserve">                  地  址：</w:t>
      </w:r>
      <w:r>
        <w:rPr>
          <w:rFonts w:hint="eastAsia" w:ascii="宋体" w:hAnsi="宋体" w:cs="宋体"/>
          <w:szCs w:val="21"/>
          <w:highlight w:val="none"/>
          <w:u w:val="single"/>
        </w:rPr>
        <w:t xml:space="preserve">                     </w:t>
      </w:r>
    </w:p>
    <w:p>
      <w:pPr>
        <w:shd w:val="clear" w:fill="auto"/>
        <w:spacing w:line="360" w:lineRule="auto"/>
        <w:contextualSpacing/>
        <w:rPr>
          <w:rFonts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u w:val="single"/>
        </w:rPr>
        <w:t xml:space="preserve">         </w:t>
      </w: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p>
    <w:p>
      <w:pPr>
        <w:shd w:val="clear" w:fill="auto"/>
        <w:spacing w:line="360" w:lineRule="auto"/>
        <w:contextualSpacing/>
        <w:rPr>
          <w:rFonts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p>
    <w:p>
      <w:pPr>
        <w:shd w:val="clear" w:fill="auto"/>
        <w:spacing w:line="360" w:lineRule="auto"/>
        <w:contextualSpacing/>
        <w:rPr>
          <w:rFonts w:ascii="宋体" w:hAnsi="宋体" w:cs="宋体"/>
          <w:szCs w:val="21"/>
          <w:highlight w:val="non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                  委托代理人：</w:t>
      </w:r>
      <w:r>
        <w:rPr>
          <w:rFonts w:hint="eastAsia" w:ascii="宋体" w:hAnsi="宋体" w:cs="宋体"/>
          <w:szCs w:val="21"/>
          <w:highlight w:val="none"/>
          <w:u w:val="single"/>
        </w:rPr>
        <w:t xml:space="preserve">             </w:t>
      </w:r>
    </w:p>
    <w:p>
      <w:pPr>
        <w:shd w:val="clear" w:fill="auto"/>
        <w:spacing w:line="360" w:lineRule="auto"/>
        <w:contextualSpacing/>
        <w:rPr>
          <w:rFonts w:ascii="宋体" w:hAnsi="宋体" w:cs="宋体"/>
          <w:szCs w:val="21"/>
          <w:highlight w:val="none"/>
        </w:rPr>
      </w:pPr>
      <w:r>
        <w:rPr>
          <w:rFonts w:hint="eastAsia" w:ascii="宋体" w:hAnsi="宋体" w:cs="宋体"/>
          <w:szCs w:val="21"/>
          <w:highlight w:val="none"/>
        </w:rPr>
        <w:t>电  话：</w:t>
      </w:r>
      <w:r>
        <w:rPr>
          <w:rFonts w:hint="eastAsia" w:ascii="宋体" w:hAnsi="宋体" w:cs="宋体"/>
          <w:szCs w:val="21"/>
          <w:highlight w:val="none"/>
          <w:u w:val="single"/>
        </w:rPr>
        <w:t>               </w:t>
      </w:r>
      <w:r>
        <w:rPr>
          <w:rFonts w:hint="eastAsia" w:ascii="宋体" w:hAnsi="宋体" w:cs="宋体"/>
          <w:szCs w:val="21"/>
          <w:highlight w:val="none"/>
        </w:rPr>
        <w:t xml:space="preserve">                  电  话：</w:t>
      </w:r>
      <w:r>
        <w:rPr>
          <w:rFonts w:hint="eastAsia" w:ascii="宋体" w:hAnsi="宋体" w:cs="宋体"/>
          <w:szCs w:val="21"/>
          <w:highlight w:val="none"/>
          <w:u w:val="single"/>
        </w:rPr>
        <w:t xml:space="preserve">                   </w:t>
      </w:r>
    </w:p>
    <w:p>
      <w:pPr>
        <w:shd w:val="clear" w:fill="auto"/>
        <w:spacing w:line="360" w:lineRule="auto"/>
        <w:contextualSpacing/>
        <w:rPr>
          <w:rFonts w:ascii="宋体" w:hAnsi="宋体" w:cs="宋体"/>
          <w:szCs w:val="21"/>
          <w:highlight w:val="none"/>
        </w:rPr>
      </w:pPr>
      <w:r>
        <w:rPr>
          <w:rFonts w:hint="eastAsia" w:ascii="宋体" w:hAnsi="宋体" w:cs="宋体"/>
          <w:szCs w:val="21"/>
          <w:highlight w:val="none"/>
        </w:rPr>
        <w:t>传  真：</w:t>
      </w:r>
      <w:r>
        <w:rPr>
          <w:rFonts w:hint="eastAsia" w:ascii="宋体" w:hAnsi="宋体" w:cs="宋体"/>
          <w:szCs w:val="21"/>
          <w:highlight w:val="none"/>
          <w:u w:val="single"/>
        </w:rPr>
        <w:t>               </w:t>
      </w:r>
      <w:r>
        <w:rPr>
          <w:rFonts w:hint="eastAsia" w:ascii="宋体" w:hAnsi="宋体" w:cs="宋体"/>
          <w:szCs w:val="21"/>
          <w:highlight w:val="none"/>
        </w:rPr>
        <w:t xml:space="preserve">                  传  真：</w:t>
      </w:r>
      <w:r>
        <w:rPr>
          <w:rFonts w:hint="eastAsia" w:ascii="宋体" w:hAnsi="宋体" w:cs="宋体"/>
          <w:szCs w:val="21"/>
          <w:highlight w:val="none"/>
          <w:u w:val="single"/>
        </w:rPr>
        <w:t xml:space="preserve">                 </w:t>
      </w:r>
    </w:p>
    <w:p>
      <w:pPr>
        <w:shd w:val="clear" w:fill="auto"/>
        <w:spacing w:line="360" w:lineRule="auto"/>
        <w:contextualSpacing/>
        <w:rPr>
          <w:rFonts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xml:space="preserve">                   </w:t>
      </w:r>
      <w:r>
        <w:rPr>
          <w:rFonts w:hint="eastAsia" w:ascii="宋体" w:hAnsi="宋体" w:cs="宋体"/>
          <w:szCs w:val="21"/>
          <w:highlight w:val="none"/>
        </w:rPr>
        <w:t xml:space="preserve">                  电子信箱：</w:t>
      </w:r>
      <w:r>
        <w:rPr>
          <w:rFonts w:hint="eastAsia" w:ascii="宋体" w:hAnsi="宋体" w:cs="宋体"/>
          <w:szCs w:val="21"/>
          <w:highlight w:val="none"/>
          <w:u w:val="single"/>
        </w:rPr>
        <w:t xml:space="preserve">                 </w:t>
      </w:r>
    </w:p>
    <w:p>
      <w:pPr>
        <w:shd w:val="clear" w:fill="auto"/>
        <w:spacing w:line="360" w:lineRule="auto"/>
        <w:contextualSpacing/>
        <w:rPr>
          <w:rFonts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   </w:t>
      </w:r>
      <w:r>
        <w:rPr>
          <w:rFonts w:hint="eastAsia" w:ascii="宋体" w:hAnsi="宋体" w:cs="宋体"/>
          <w:szCs w:val="21"/>
          <w:highlight w:val="none"/>
        </w:rPr>
        <w:t xml:space="preserve">                  开户银行：</w:t>
      </w:r>
      <w:r>
        <w:rPr>
          <w:rFonts w:hint="eastAsia" w:ascii="宋体" w:hAnsi="宋体" w:cs="宋体"/>
          <w:szCs w:val="21"/>
          <w:highlight w:val="none"/>
          <w:u w:val="single"/>
        </w:rPr>
        <w:t xml:space="preserve">                   </w:t>
      </w:r>
    </w:p>
    <w:p>
      <w:pPr>
        <w:shd w:val="clear" w:fill="FFFFFF" w:themeFill="background1"/>
        <w:spacing w:line="360" w:lineRule="auto"/>
        <w:contextualSpacing/>
        <w:rPr>
          <w:rFonts w:ascii="宋体" w:hAnsi="宋体" w:cs="宋体"/>
          <w:szCs w:val="21"/>
          <w:highlight w:val="none"/>
        </w:rPr>
        <w:sectPr>
          <w:pgSz w:w="11906" w:h="16838"/>
          <w:pgMar w:top="1418" w:right="1134" w:bottom="1418" w:left="1134" w:header="850" w:footer="850" w:gutter="0"/>
          <w:cols w:space="720" w:num="1"/>
          <w:docGrid w:linePitch="312" w:charSpace="0"/>
        </w:sectPr>
      </w:pPr>
      <w:r>
        <w:rPr>
          <w:rFonts w:hint="eastAsia" w:ascii="宋体" w:hAnsi="宋体" w:cs="宋体"/>
          <w:szCs w:val="21"/>
          <w:highlight w:val="none"/>
        </w:rPr>
        <w:t>账  号：</w:t>
      </w:r>
      <w:r>
        <w:rPr>
          <w:rFonts w:hint="eastAsia" w:ascii="宋体" w:hAnsi="宋体" w:cs="宋体"/>
          <w:szCs w:val="21"/>
          <w:highlight w:val="none"/>
          <w:u w:val="single"/>
        </w:rPr>
        <w:t xml:space="preserve">         </w:t>
      </w:r>
      <w:r>
        <w:rPr>
          <w:rFonts w:hint="eastAsia" w:ascii="宋体" w:hAnsi="宋体" w:cs="宋体"/>
          <w:szCs w:val="21"/>
          <w:highlight w:val="none"/>
        </w:rPr>
        <w:t xml:space="preserve">                  账  号：</w:t>
      </w:r>
      <w:r>
        <w:rPr>
          <w:rFonts w:hint="eastAsia" w:ascii="宋体" w:hAnsi="宋体" w:cs="宋体"/>
          <w:szCs w:val="21"/>
          <w:highlight w:val="none"/>
          <w:u w:val="single"/>
        </w:rPr>
        <w:t xml:space="preserve">                     </w:t>
      </w:r>
    </w:p>
    <w:p>
      <w:pPr>
        <w:pStyle w:val="3"/>
        <w:pageBreakBefore w:val="0"/>
        <w:shd w:val="clear" w:fill="auto"/>
        <w:kinsoku/>
        <w:wordWrap/>
        <w:overflowPunct/>
        <w:topLinePunct w:val="0"/>
        <w:bidi w:val="0"/>
        <w:spacing w:line="360" w:lineRule="auto"/>
        <w:ind w:left="0" w:leftChars="0" w:right="0" w:rightChars="0"/>
        <w:jc w:val="center"/>
        <w:outlineLvl w:val="1"/>
        <w:rPr>
          <w:rFonts w:hint="eastAsia" w:ascii="宋体" w:hAnsi="宋体" w:eastAsia="宋体" w:cs="宋体"/>
          <w:color w:val="auto"/>
          <w:sz w:val="24"/>
          <w:szCs w:val="24"/>
          <w:highlight w:val="none"/>
          <w:lang w:eastAsia="zh-CN"/>
        </w:rPr>
      </w:pPr>
      <w:bookmarkStart w:id="359" w:name="_Toc30829"/>
      <w:bookmarkStart w:id="360" w:name="_Toc16904"/>
      <w:bookmarkStart w:id="361" w:name="_Toc32127"/>
      <w:bookmarkStart w:id="362" w:name="_Toc5194"/>
      <w:r>
        <w:rPr>
          <w:rFonts w:hint="eastAsia" w:ascii="宋体" w:hAnsi="宋体" w:eastAsia="宋体" w:cs="宋体"/>
          <w:color w:val="auto"/>
          <w:sz w:val="24"/>
          <w:szCs w:val="24"/>
          <w:highlight w:val="none"/>
        </w:rPr>
        <w:t>第二部分 通用合同条款</w:t>
      </w:r>
      <w:bookmarkEnd w:id="358"/>
      <w:bookmarkStart w:id="363" w:name="_Toc337558727"/>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略</w:t>
      </w:r>
      <w:r>
        <w:rPr>
          <w:rFonts w:hint="eastAsia" w:ascii="宋体" w:hAnsi="宋体" w:eastAsia="宋体" w:cs="宋体"/>
          <w:color w:val="auto"/>
          <w:sz w:val="24"/>
          <w:szCs w:val="24"/>
          <w:highlight w:val="none"/>
          <w:lang w:eastAsia="zh-CN"/>
        </w:rPr>
        <w:t>）</w:t>
      </w:r>
      <w:bookmarkEnd w:id="359"/>
      <w:bookmarkEnd w:id="360"/>
      <w:bookmarkEnd w:id="361"/>
      <w:bookmarkEnd w:id="362"/>
    </w:p>
    <w:bookmarkEnd w:id="363"/>
    <w:p>
      <w:pPr>
        <w:pStyle w:val="3"/>
        <w:pageBreakBefore w:val="0"/>
        <w:shd w:val="clear" w:fill="auto"/>
        <w:kinsoku/>
        <w:wordWrap/>
        <w:overflowPunct/>
        <w:topLinePunct w:val="0"/>
        <w:bidi w:val="0"/>
        <w:spacing w:line="360" w:lineRule="auto"/>
        <w:ind w:left="0" w:leftChars="0" w:right="0" w:rightChars="0"/>
        <w:jc w:val="center"/>
        <w:outlineLvl w:val="1"/>
        <w:rPr>
          <w:rFonts w:hint="eastAsia" w:ascii="宋体" w:hAnsi="宋体" w:eastAsia="宋体" w:cs="宋体"/>
          <w:color w:val="auto"/>
          <w:sz w:val="24"/>
          <w:szCs w:val="24"/>
          <w:highlight w:val="none"/>
        </w:rPr>
      </w:pPr>
      <w:bookmarkStart w:id="364" w:name="_Toc351203632"/>
      <w:bookmarkStart w:id="365" w:name="_Toc29658"/>
      <w:bookmarkStart w:id="366" w:name="_Toc3574"/>
      <w:bookmarkStart w:id="367" w:name="_Toc16538"/>
      <w:bookmarkStart w:id="368" w:name="_Toc7325"/>
      <w:r>
        <w:rPr>
          <w:rFonts w:hint="eastAsia" w:ascii="宋体" w:hAnsi="宋体" w:eastAsia="宋体" w:cs="宋体"/>
          <w:color w:val="auto"/>
          <w:sz w:val="24"/>
          <w:szCs w:val="24"/>
          <w:highlight w:val="none"/>
        </w:rPr>
        <w:t>第三部分 专用合同条款</w:t>
      </w:r>
      <w:bookmarkEnd w:id="364"/>
      <w:bookmarkEnd w:id="365"/>
      <w:bookmarkEnd w:id="366"/>
      <w:bookmarkEnd w:id="367"/>
      <w:bookmarkEnd w:id="368"/>
    </w:p>
    <w:p>
      <w:pPr>
        <w:keepNext w:val="0"/>
        <w:keepLines w:val="0"/>
        <w:pageBreakBefore w:val="0"/>
        <w:shd w:val="clear" w:fill="auto"/>
        <w:kinsoku/>
        <w:wordWrap/>
        <w:overflowPunct/>
        <w:topLinePunct w:val="0"/>
        <w:bidi w:val="0"/>
        <w:snapToGrid/>
        <w:spacing w:line="420" w:lineRule="exact"/>
        <w:ind w:left="0" w:leftChars="0"/>
        <w:textAlignment w:val="auto"/>
        <w:outlineLvl w:val="9"/>
        <w:rPr>
          <w:rFonts w:ascii="宋体" w:hAnsi="宋体" w:cs="宋体"/>
          <w:szCs w:val="21"/>
          <w:highlight w:val="none"/>
        </w:rPr>
      </w:pPr>
      <w:bookmarkStart w:id="369" w:name="_Toc6992"/>
      <w:r>
        <w:rPr>
          <w:rFonts w:hint="eastAsia" w:ascii="宋体" w:hAnsi="宋体" w:cs="宋体"/>
          <w:szCs w:val="21"/>
          <w:highlight w:val="none"/>
        </w:rPr>
        <w:t>1</w:t>
      </w:r>
      <w:bookmarkStart w:id="370" w:name="_Toc296891196"/>
      <w:bookmarkStart w:id="371" w:name="_Toc296890984"/>
      <w:bookmarkStart w:id="372" w:name="_Toc296944495"/>
      <w:bookmarkStart w:id="373" w:name="_Toc292559361"/>
      <w:bookmarkStart w:id="374" w:name="_Toc296346657"/>
      <w:bookmarkStart w:id="375" w:name="_Toc297120456"/>
      <w:bookmarkStart w:id="376" w:name="_Toc292559866"/>
      <w:bookmarkStart w:id="377" w:name="_Toc296503156"/>
      <w:bookmarkStart w:id="378" w:name="_Toc297048342"/>
      <w:bookmarkStart w:id="379" w:name="_Toc296347155"/>
      <w:r>
        <w:rPr>
          <w:rFonts w:hint="eastAsia" w:ascii="宋体" w:hAnsi="宋体" w:cs="宋体"/>
          <w:szCs w:val="21"/>
          <w:highlight w:val="none"/>
        </w:rPr>
        <w:t>. 一般约定</w:t>
      </w:r>
      <w:bookmarkEnd w:id="369"/>
    </w:p>
    <w:bookmarkEnd w:id="370"/>
    <w:bookmarkEnd w:id="371"/>
    <w:bookmarkEnd w:id="372"/>
    <w:bookmarkEnd w:id="373"/>
    <w:bookmarkEnd w:id="374"/>
    <w:bookmarkEnd w:id="375"/>
    <w:bookmarkEnd w:id="376"/>
    <w:bookmarkEnd w:id="377"/>
    <w:bookmarkEnd w:id="378"/>
    <w:bookmarkEnd w:id="379"/>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bookmarkStart w:id="380" w:name="_Toc8173"/>
      <w:bookmarkStart w:id="381" w:name="_Toc512676382"/>
      <w:r>
        <w:rPr>
          <w:rFonts w:hint="eastAsia" w:ascii="宋体" w:hAnsi="宋体" w:cs="宋体"/>
          <w:szCs w:val="21"/>
          <w:highlight w:val="none"/>
        </w:rPr>
        <w:t>1.1 词语定义</w:t>
      </w:r>
      <w:bookmarkEnd w:id="380"/>
      <w:bookmarkEnd w:id="381"/>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hint="eastAsia" w:ascii="宋体" w:hAnsi="宋体" w:eastAsia="宋体" w:cs="宋体"/>
          <w:kern w:val="0"/>
          <w:szCs w:val="21"/>
          <w:highlight w:val="none"/>
          <w:lang w:eastAsia="zh-CN"/>
        </w:rPr>
      </w:pPr>
      <w:r>
        <w:rPr>
          <w:rFonts w:hint="eastAsia" w:ascii="宋体" w:hAnsi="宋体" w:cs="宋体"/>
          <w:kern w:val="0"/>
          <w:szCs w:val="21"/>
          <w:highlight w:val="none"/>
        </w:rPr>
        <w:t>1.1.1合同</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kern w:val="0"/>
          <w:szCs w:val="21"/>
          <w:highlight w:val="none"/>
        </w:rPr>
        <w:t>1.1.1.9其他合同文件包括：</w:t>
      </w:r>
      <w:r>
        <w:rPr>
          <w:rFonts w:hint="eastAsia" w:ascii="宋体" w:hAnsi="宋体" w:cs="宋体"/>
          <w:kern w:val="0"/>
          <w:szCs w:val="21"/>
          <w:highlight w:val="none"/>
          <w:u w:val="single"/>
        </w:rPr>
        <w:t>见第一部分“合同协议书 ”第六款之约定；招标文件及招标过程资料(包括定标会议纪要、答疑文件、澄清文件、补遗文件及承诺函等往来函件)；投标书及其附件；履行合同过程中经发包人书面确认的对合同内容有实质性影响的会议纪要、工程设计变更单、技术核定单、现场签证、</w:t>
      </w:r>
      <w:bookmarkStart w:id="382" w:name="_Hlk121588143"/>
      <w:r>
        <w:rPr>
          <w:rFonts w:hint="eastAsia" w:ascii="宋体" w:hAnsi="宋体" w:cs="宋体"/>
          <w:kern w:val="0"/>
          <w:szCs w:val="21"/>
          <w:highlight w:val="none"/>
          <w:u w:val="single"/>
        </w:rPr>
        <w:t>工作联系单</w:t>
      </w:r>
      <w:bookmarkEnd w:id="382"/>
      <w:r>
        <w:rPr>
          <w:rFonts w:hint="eastAsia" w:ascii="宋体" w:hAnsi="宋体" w:cs="宋体"/>
          <w:kern w:val="0"/>
          <w:szCs w:val="21"/>
          <w:highlight w:val="none"/>
          <w:u w:val="single"/>
        </w:rPr>
        <w:t>、双方达成一致意见的书面确认的往来函件、工程质量保修书、安全目标责任书等资料，涉及工程量或工程价款增加的事项经发包人书面同意方有效；发包人下发的各项管理规章制度。</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1.1.2 合同当事人和人员</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1.1.2.6监理人：</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资质类别和等级：</w:t>
      </w:r>
      <w:r>
        <w:rPr>
          <w:rFonts w:hint="eastAsia" w:ascii="宋体" w:hAnsi="宋体" w:cs="宋体"/>
          <w:szCs w:val="21"/>
          <w:highlight w:val="none"/>
          <w:u w:val="single"/>
        </w:rPr>
        <w:t></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xml:space="preserve">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1.1.2.8 设计人：</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 xml:space="preserve">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资质类别和等级：</w:t>
      </w:r>
      <w:r>
        <w:rPr>
          <w:rFonts w:hint="eastAsia" w:ascii="宋体" w:hAnsi="宋体" w:cs="宋体"/>
          <w:szCs w:val="21"/>
          <w:highlight w:val="none"/>
          <w:u w:val="single"/>
        </w:rPr>
        <w:t>   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1.1.3 工程和设备</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1.1.3.10 永久占地包括：</w:t>
      </w:r>
      <w:r>
        <w:rPr>
          <w:rFonts w:hint="eastAsia" w:ascii="宋体" w:hAnsi="宋体" w:cs="宋体"/>
          <w:szCs w:val="21"/>
          <w:highlight w:val="none"/>
          <w:u w:val="single"/>
        </w:rPr>
        <w:t xml:space="preserve"> 指专用合同条款中指明为实施合同工程需永久占用的土地</w:t>
      </w:r>
      <w:r>
        <w:rPr>
          <w:rFonts w:hint="eastAsia" w:ascii="宋体" w:hAnsi="宋体" w:cs="宋体"/>
          <w:kern w:val="0"/>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1.1.3.11 临时占地包括：</w:t>
      </w:r>
      <w:r>
        <w:rPr>
          <w:rFonts w:hint="eastAsia" w:ascii="宋体" w:hAnsi="宋体" w:cs="宋体"/>
          <w:szCs w:val="21"/>
          <w:highlight w:val="none"/>
          <w:u w:val="single"/>
        </w:rPr>
        <w:t xml:space="preserve"> 指专用合同条款中指明为实施合同工程需临时占用的土地</w:t>
      </w:r>
      <w:r>
        <w:rPr>
          <w:rFonts w:hint="eastAsia" w:ascii="宋体" w:hAnsi="宋体" w:cs="宋体"/>
          <w:kern w:val="0"/>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1.1.3.12 作为施工现场组成部分的其他场所包括：</w:t>
      </w:r>
      <w:r>
        <w:rPr>
          <w:rFonts w:hint="eastAsia" w:ascii="宋体" w:hAnsi="宋体" w:cs="宋体"/>
          <w:szCs w:val="21"/>
          <w:highlight w:val="none"/>
          <w:u w:val="single"/>
        </w:rPr>
        <w:t>指用于合同工程施工的场所，以及在合同中指定作为施工场地组成部分的其他场所，包括永久占地和临时占地</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 xml:space="preserve">1.3法律 </w:t>
      </w:r>
    </w:p>
    <w:p>
      <w:pPr>
        <w:keepNext w:val="0"/>
        <w:keepLines w:val="0"/>
        <w:pageBreakBefore w:val="0"/>
        <w:shd w:val="clear" w:fill="auto"/>
        <w:kinsoku/>
        <w:wordWrap/>
        <w:overflowPunct/>
        <w:topLinePunct w:val="0"/>
        <w:autoSpaceDE w:val="0"/>
        <w:autoSpaceDN w:val="0"/>
        <w:bidi w:val="0"/>
        <w:adjustRightInd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rPr>
        <w:t>适用于合同的其他规范性文件：</w:t>
      </w:r>
      <w:r>
        <w:rPr>
          <w:rFonts w:hint="eastAsia" w:ascii="宋体" w:hAnsi="宋体" w:cs="宋体"/>
          <w:szCs w:val="21"/>
          <w:highlight w:val="none"/>
          <w:u w:val="single"/>
        </w:rPr>
        <w:t>与本工程施工相关的现行法律、行政法规、地方法规、规章及规范性文件等。</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1.4 合同文件的优先顺序</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合同文件组成及优先顺序为:</w:t>
      </w:r>
      <w:r>
        <w:rPr>
          <w:rFonts w:hint="eastAsia" w:ascii="宋体" w:hAnsi="宋体" w:cs="宋体"/>
          <w:szCs w:val="21"/>
          <w:highlight w:val="none"/>
          <w:u w:val="single"/>
        </w:rPr>
        <w:t>按合同协议书“六、合同文件构成”执行</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bookmarkStart w:id="383" w:name="_Toc20216"/>
      <w:bookmarkStart w:id="384" w:name="_Toc512676383"/>
      <w:r>
        <w:rPr>
          <w:rFonts w:hint="eastAsia" w:ascii="宋体" w:hAnsi="宋体" w:cs="宋体"/>
          <w:szCs w:val="21"/>
          <w:highlight w:val="none"/>
        </w:rPr>
        <w:t>1.6 图纸和承包人文件</w:t>
      </w:r>
      <w:bookmarkEnd w:id="383"/>
      <w:bookmarkEnd w:id="384"/>
      <w:r>
        <w:rPr>
          <w:rFonts w:hint="eastAsia" w:ascii="宋体" w:hAnsi="宋体" w:cs="宋体"/>
          <w:szCs w:val="21"/>
          <w:highlight w:val="none"/>
        </w:rPr>
        <w:tab/>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1.6.1 图纸的提供</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发包人向承包人提供图纸的期限：</w:t>
      </w:r>
      <w:r>
        <w:rPr>
          <w:rFonts w:hint="eastAsia" w:ascii="宋体" w:hAnsi="宋体" w:cs="宋体"/>
          <w:szCs w:val="21"/>
          <w:highlight w:val="none"/>
          <w:u w:val="single"/>
        </w:rPr>
        <w:t>实施前5天内</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发包人向承包人提供图纸的数量：</w:t>
      </w:r>
      <w:bookmarkStart w:id="385" w:name="_Hlk121588321"/>
      <w:r>
        <w:rPr>
          <w:rFonts w:hint="eastAsia" w:ascii="宋体" w:hAnsi="宋体" w:cs="宋体"/>
          <w:szCs w:val="21"/>
          <w:highlight w:val="none"/>
          <w:u w:val="single"/>
        </w:rPr>
        <w:t>免费提供2份全套完整图纸，施工期间先提供2份能够满足开工需求的施工图纸，其余图纸应在不影响施工进度的前提下陆续提供。</w:t>
      </w:r>
      <w:bookmarkEnd w:id="385"/>
      <w:r>
        <w:rPr>
          <w:rFonts w:hint="eastAsia" w:ascii="宋体" w:hAnsi="宋体" w:cs="宋体"/>
          <w:szCs w:val="21"/>
          <w:highlight w:val="none"/>
          <w:u w:val="single"/>
        </w:rPr>
        <w:t>如需使用标准图集和技术规范，承包人应负责复制、购买此类图集和规范并承担相应的费用；如需使用国外(境外)图纸，发包人则应负责复制、购买、翻译此类图纸并向承包人免费提供2份</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发包人向承包人提供图纸的内容：</w:t>
      </w:r>
      <w:r>
        <w:rPr>
          <w:rFonts w:hint="eastAsia" w:ascii="宋体" w:hAnsi="宋体" w:cs="宋体"/>
          <w:szCs w:val="21"/>
          <w:highlight w:val="none"/>
          <w:u w:val="single"/>
        </w:rPr>
        <w:t>合同承包范围内各单体建构筑物整套施工图</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关于现场图纸准备的约定：</w:t>
      </w:r>
      <w:r>
        <w:rPr>
          <w:rFonts w:hint="eastAsia" w:ascii="宋体" w:hAnsi="宋体" w:cs="宋体"/>
          <w:szCs w:val="21"/>
          <w:highlight w:val="none"/>
          <w:u w:val="single"/>
        </w:rPr>
        <w:t xml:space="preserve"> 1. 图纸需要修改和补充的，应由监理人取得发包人同意后，在该工程或工程相应部位施工前的合理期限内签发图纸修改图给承包人，具体签发期限由发包人及监理人商定。承包人应按修改后的图纸施工；2.承包人发现发包人提供的图纸存在明显错误或疏忽，应及时通知监理人；3.承包人应在施工现场保存一套完整的图纸和承包人文件，供发包人、监理人及有关人员进行工程检查时使用。</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1.6.2 承包人文件</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需要由承包人提供的文件，包括：</w:t>
      </w:r>
      <w:r>
        <w:rPr>
          <w:rFonts w:hint="eastAsia" w:ascii="宋体" w:hAnsi="宋体" w:cs="宋体"/>
          <w:szCs w:val="21"/>
          <w:highlight w:val="none"/>
          <w:u w:val="single"/>
        </w:rPr>
        <w:t>企业有关</w:t>
      </w:r>
      <w:r>
        <w:rPr>
          <w:rFonts w:hint="eastAsia" w:ascii="宋体" w:hAnsi="宋体" w:cs="宋体"/>
          <w:szCs w:val="21"/>
          <w:highlight w:val="none"/>
          <w:u w:val="single"/>
          <w:lang w:val="en-US" w:eastAsia="zh-CN"/>
        </w:rPr>
        <w:t>营业执照</w:t>
      </w:r>
      <w:r>
        <w:rPr>
          <w:rFonts w:hint="eastAsia" w:ascii="宋体" w:hAnsi="宋体" w:cs="宋体"/>
          <w:szCs w:val="21"/>
          <w:highlight w:val="none"/>
          <w:u w:val="single"/>
        </w:rPr>
        <w:t>、投标人员证书、施工组织设计、总进度计划表、施工（安全）专项方案、扬尘治理专项方案、资金使用计划表、总平面布置图、详细的分部工程施工计划表、人员、机械计划，包括必要的加工图和大样图，合同计量与支付的依据文件；月度形象进度报告（同时递交相应的工程款申请报告）及相关政府部门、管理机构、发包人、监理人要求承包人提供报送的相关文件等；</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bookmarkStart w:id="386" w:name="_Hlk121588490"/>
      <w:r>
        <w:rPr>
          <w:rFonts w:hint="eastAsia" w:ascii="宋体" w:hAnsi="宋体" w:cs="宋体"/>
          <w:szCs w:val="21"/>
          <w:highlight w:val="none"/>
        </w:rPr>
        <w:t>承包人提供的文件的期限为：</w:t>
      </w:r>
      <w:r>
        <w:rPr>
          <w:rFonts w:hint="eastAsia" w:ascii="宋体" w:hAnsi="宋体" w:cs="宋体"/>
          <w:szCs w:val="21"/>
          <w:highlight w:val="none"/>
          <w:u w:val="single"/>
        </w:rPr>
        <w:t>开工前14天</w:t>
      </w:r>
    </w:p>
    <w:bookmarkEnd w:id="386"/>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承包人提供的文件的数量为：</w:t>
      </w:r>
      <w:r>
        <w:rPr>
          <w:rFonts w:hint="eastAsia" w:ascii="宋体" w:hAnsi="宋体" w:cs="宋体"/>
          <w:szCs w:val="21"/>
          <w:highlight w:val="none"/>
          <w:u w:val="single"/>
        </w:rPr>
        <w:t>按发包人要求提供</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承包人提供的文件的形式为：</w:t>
      </w:r>
      <w:r>
        <w:rPr>
          <w:rFonts w:hint="eastAsia" w:ascii="宋体" w:hAnsi="宋体" w:cs="宋体"/>
          <w:szCs w:val="21"/>
          <w:highlight w:val="none"/>
          <w:u w:val="single"/>
        </w:rPr>
        <w:t xml:space="preserve">书面形式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发包人审批承包人文件的期限：</w:t>
      </w:r>
      <w:r>
        <w:rPr>
          <w:rFonts w:hint="eastAsia" w:ascii="宋体" w:hAnsi="宋体" w:cs="宋体"/>
          <w:szCs w:val="21"/>
          <w:highlight w:val="none"/>
          <w:u w:val="single"/>
        </w:rPr>
        <w:t>收到文件后7天</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bookmarkStart w:id="387" w:name="_Toc512676384"/>
      <w:bookmarkStart w:id="388" w:name="_Toc8229"/>
      <w:r>
        <w:rPr>
          <w:rFonts w:hint="eastAsia" w:ascii="宋体" w:hAnsi="宋体" w:cs="宋体"/>
          <w:szCs w:val="21"/>
          <w:highlight w:val="none"/>
        </w:rPr>
        <w:t>1.7 联络</w:t>
      </w:r>
      <w:bookmarkEnd w:id="387"/>
      <w:bookmarkEnd w:id="388"/>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rPr>
      </w:pPr>
      <w:r>
        <w:rPr>
          <w:rFonts w:hint="eastAsia" w:ascii="宋体" w:hAnsi="宋体" w:cs="宋体"/>
          <w:kern w:val="0"/>
          <w:szCs w:val="21"/>
          <w:highlight w:val="none"/>
        </w:rPr>
        <w:t>1.7.1发包人和承包人应当在</w:t>
      </w:r>
      <w:r>
        <w:rPr>
          <w:rFonts w:hint="eastAsia" w:ascii="宋体" w:hAnsi="宋体" w:cs="宋体"/>
          <w:szCs w:val="21"/>
          <w:highlight w:val="none"/>
          <w:u w:val="single"/>
        </w:rPr>
        <w:t xml:space="preserve">7 </w:t>
      </w:r>
      <w:r>
        <w:rPr>
          <w:rFonts w:hint="eastAsia" w:ascii="宋体" w:hAnsi="宋体" w:cs="宋体"/>
          <w:kern w:val="0"/>
          <w:szCs w:val="21"/>
          <w:highlight w:val="none"/>
        </w:rPr>
        <w:t>天内将与合同有关的通知、批准、证明、证书、指示、指令、要求、请求、同意、意见、确定和决定等书面函件送达对方当事人。</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rPr>
      </w:pPr>
      <w:r>
        <w:rPr>
          <w:rFonts w:hint="eastAsia" w:ascii="宋体" w:hAnsi="宋体" w:cs="宋体"/>
          <w:kern w:val="0"/>
          <w:szCs w:val="21"/>
          <w:highlight w:val="none"/>
        </w:rPr>
        <w:t>1.7.2 发包人接收文件的地点：</w:t>
      </w:r>
      <w:r>
        <w:rPr>
          <w:rFonts w:hint="eastAsia" w:ascii="宋体" w:hAnsi="宋体" w:cs="宋体"/>
          <w:szCs w:val="21"/>
          <w:highlight w:val="none"/>
          <w:u w:val="single"/>
        </w:rPr>
        <w:t> </w:t>
      </w:r>
      <w:r>
        <w:rPr>
          <w:rFonts w:hint="eastAsia" w:ascii="宋体" w:hAnsi="宋体" w:cs="宋体"/>
          <w:kern w:val="0"/>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rPr>
      </w:pPr>
      <w:r>
        <w:rPr>
          <w:rFonts w:hint="eastAsia" w:ascii="宋体" w:hAnsi="宋体" w:cs="宋体"/>
          <w:kern w:val="0"/>
          <w:szCs w:val="21"/>
          <w:highlight w:val="none"/>
        </w:rPr>
        <w:t>发包人指定的接收人为：</w:t>
      </w:r>
      <w:r>
        <w:rPr>
          <w:rFonts w:hint="eastAsia" w:ascii="宋体" w:hAnsi="宋体" w:cs="宋体"/>
          <w:szCs w:val="21"/>
          <w:highlight w:val="none"/>
          <w:u w:val="single"/>
        </w:rPr>
        <w:t>             </w:t>
      </w:r>
      <w:r>
        <w:rPr>
          <w:rFonts w:hint="eastAsia" w:ascii="宋体" w:hAnsi="宋体" w:cs="宋体"/>
          <w:kern w:val="0"/>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rPr>
      </w:pPr>
      <w:r>
        <w:rPr>
          <w:rFonts w:hint="eastAsia" w:ascii="宋体" w:hAnsi="宋体" w:cs="宋体"/>
          <w:kern w:val="0"/>
          <w:szCs w:val="21"/>
          <w:highlight w:val="none"/>
        </w:rPr>
        <w:t>承包人接收文件的地点：</w:t>
      </w:r>
      <w:r>
        <w:rPr>
          <w:rFonts w:hint="eastAsia" w:ascii="宋体" w:hAnsi="宋体" w:cs="宋体"/>
          <w:szCs w:val="21"/>
          <w:highlight w:val="none"/>
          <w:u w:val="single"/>
        </w:rPr>
        <w:t>   </w:t>
      </w:r>
      <w:r>
        <w:rPr>
          <w:rFonts w:hint="eastAsia" w:ascii="宋体" w:hAnsi="宋体" w:cs="宋体"/>
          <w:kern w:val="0"/>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rPr>
      </w:pPr>
      <w:r>
        <w:rPr>
          <w:rFonts w:hint="eastAsia" w:ascii="宋体" w:hAnsi="宋体" w:cs="宋体"/>
          <w:kern w:val="0"/>
          <w:szCs w:val="21"/>
          <w:highlight w:val="none"/>
        </w:rPr>
        <w:t>承包人指定的接收人为：</w:t>
      </w:r>
      <w:r>
        <w:rPr>
          <w:rFonts w:hint="eastAsia" w:ascii="宋体" w:hAnsi="宋体" w:cs="宋体"/>
          <w:szCs w:val="21"/>
          <w:highlight w:val="none"/>
          <w:u w:val="single"/>
        </w:rPr>
        <w:t>             </w:t>
      </w:r>
      <w:r>
        <w:rPr>
          <w:rFonts w:hint="eastAsia" w:ascii="宋体" w:hAnsi="宋体" w:cs="宋体"/>
          <w:kern w:val="0"/>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rPr>
      </w:pPr>
      <w:r>
        <w:rPr>
          <w:rFonts w:hint="eastAsia" w:ascii="宋体" w:hAnsi="宋体" w:cs="宋体"/>
          <w:kern w:val="0"/>
          <w:szCs w:val="21"/>
          <w:highlight w:val="none"/>
        </w:rPr>
        <w:t>监理人接收文件的地点：</w:t>
      </w:r>
      <w:r>
        <w:rPr>
          <w:rFonts w:hint="eastAsia" w:ascii="宋体" w:hAnsi="宋体" w:cs="宋体"/>
          <w:szCs w:val="21"/>
          <w:highlight w:val="none"/>
          <w:u w:val="single"/>
        </w:rPr>
        <w:t>项目现场监理办公室</w:t>
      </w:r>
      <w:r>
        <w:rPr>
          <w:rFonts w:hint="eastAsia" w:ascii="宋体" w:hAnsi="宋体" w:cs="宋体"/>
          <w:kern w:val="0"/>
          <w:szCs w:val="21"/>
          <w:highlight w:val="none"/>
        </w:rPr>
        <w:t>；</w:t>
      </w:r>
    </w:p>
    <w:p>
      <w:pPr>
        <w:keepNext w:val="0"/>
        <w:keepLines w:val="0"/>
        <w:pageBreakBefore w:val="0"/>
        <w:widowControl/>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监理人指定的接收人为：</w:t>
      </w:r>
      <w:r>
        <w:rPr>
          <w:rFonts w:hint="eastAsia" w:ascii="宋体" w:hAnsi="宋体" w:cs="宋体"/>
          <w:szCs w:val="21"/>
          <w:highlight w:val="none"/>
          <w:u w:val="single"/>
        </w:rPr>
        <w:t>  </w:t>
      </w:r>
      <w:r>
        <w:rPr>
          <w:rFonts w:hint="eastAsia" w:ascii="宋体" w:hAnsi="宋体" w:cs="宋体"/>
          <w:kern w:val="0"/>
          <w:szCs w:val="21"/>
          <w:highlight w:val="none"/>
        </w:rPr>
        <w:t>。</w:t>
      </w:r>
      <w:bookmarkStart w:id="389" w:name="_Toc535310363"/>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1.9严禁贿赂</w:t>
      </w:r>
      <w:bookmarkEnd w:id="389"/>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bookmarkStart w:id="390" w:name="_Toc535310364"/>
      <w:r>
        <w:rPr>
          <w:rFonts w:hint="eastAsia" w:ascii="宋体" w:hAnsi="宋体" w:cs="宋体"/>
          <w:szCs w:val="21"/>
          <w:highlight w:val="none"/>
        </w:rPr>
        <w:t>合同当事人不得以贿赂或变相贿赂的方式谋取非法利益或损害对方权益。工程施工期间，每举报一起，一经核实，接受举报方可根据情况给予举报人500元至5万元不等的奖励；承包人不得贿赂拉拢监理人、发包人的相关人员，严禁发生正常工作以外的任何不正当联系，发生一起经查实承包人承担100万元违约金。</w:t>
      </w:r>
      <w:bookmarkEnd w:id="390"/>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bookmarkStart w:id="391" w:name="_Toc512676388"/>
      <w:bookmarkStart w:id="392" w:name="_Toc26566"/>
      <w:r>
        <w:rPr>
          <w:rFonts w:hint="eastAsia" w:ascii="宋体" w:hAnsi="宋体" w:cs="宋体"/>
          <w:szCs w:val="21"/>
          <w:highlight w:val="none"/>
        </w:rPr>
        <w:t xml:space="preserve">1.11 </w:t>
      </w:r>
      <w:bookmarkEnd w:id="391"/>
      <w:bookmarkEnd w:id="392"/>
      <w:r>
        <w:rPr>
          <w:rFonts w:hint="eastAsia" w:ascii="宋体" w:hAnsi="宋体" w:cs="宋体"/>
          <w:szCs w:val="21"/>
          <w:highlight w:val="none"/>
        </w:rPr>
        <w:t>专利技术</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highlight w:val="none"/>
          <w:u w:val="single"/>
        </w:rPr>
        <w:t xml:space="preserve">按通用条款执行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关于发包人提供的上述文件的使用限制的要求：</w:t>
      </w:r>
      <w:r>
        <w:rPr>
          <w:rFonts w:hint="eastAsia" w:ascii="宋体" w:hAnsi="宋体" w:cs="宋体"/>
          <w:szCs w:val="21"/>
          <w:highlight w:val="none"/>
          <w:u w:val="single"/>
        </w:rPr>
        <w:t xml:space="preserve"> 发包人提供的图纸和文件，未经发包人同意，承包人不得为合同以外的目的泄露给他人或公开发表与引用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rPr>
        <w:t>关于承包人为实施工程所编制文件的著作权的归属：</w:t>
      </w:r>
      <w:r>
        <w:rPr>
          <w:rFonts w:hint="eastAsia" w:ascii="宋体" w:hAnsi="宋体" w:cs="宋体"/>
          <w:szCs w:val="21"/>
          <w:highlight w:val="none"/>
          <w:u w:val="single"/>
        </w:rPr>
        <w:t>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rPr>
        <w:t>关于承包人提供的上述文件的使用限制的要求：</w:t>
      </w:r>
      <w:r>
        <w:rPr>
          <w:rFonts w:hint="eastAsia" w:ascii="宋体" w:hAnsi="宋体" w:cs="宋体"/>
          <w:szCs w:val="21"/>
          <w:highlight w:val="none"/>
          <w:u w:val="single"/>
        </w:rPr>
        <w:t>发包人提供的图纸和文件，未经发包人同意，承包人不得为合同以外的目的泄露给他人或公开发表与引用  。</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rPr>
      </w:pPr>
      <w:bookmarkStart w:id="393" w:name="_Toc512676389"/>
      <w:bookmarkStart w:id="394" w:name="_Toc26211"/>
      <w:r>
        <w:rPr>
          <w:rFonts w:hint="eastAsia" w:ascii="宋体" w:hAnsi="宋体" w:cs="宋体"/>
          <w:szCs w:val="21"/>
          <w:highlight w:val="none"/>
        </w:rPr>
        <w:t>1.11.2 承包人在施工过程中所采用的专利、专有技术、技术秘密的使用费的承担方式：</w:t>
      </w:r>
      <w:r>
        <w:rPr>
          <w:rFonts w:hint="eastAsia" w:ascii="宋体" w:hAnsi="宋体" w:cs="宋体"/>
          <w:szCs w:val="21"/>
          <w:highlight w:val="none"/>
          <w:u w:val="single"/>
        </w:rPr>
        <w:t>费用包含在投标报价内</w:t>
      </w:r>
      <w:r>
        <w:rPr>
          <w:rFonts w:hint="eastAsia" w:ascii="宋体" w:hAnsi="宋体" w:cs="宋体"/>
          <w:kern w:val="0"/>
          <w:szCs w:val="21"/>
          <w:highlight w:val="none"/>
        </w:rPr>
        <w:t>。</w:t>
      </w:r>
      <w:bookmarkEnd w:id="393"/>
      <w:bookmarkEnd w:id="394"/>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1.13工程量清单错误的修正</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rPr>
      </w:pPr>
      <w:r>
        <w:rPr>
          <w:rFonts w:hint="eastAsia" w:ascii="宋体" w:hAnsi="宋体" w:cs="宋体"/>
          <w:szCs w:val="21"/>
          <w:highlight w:val="none"/>
        </w:rPr>
        <w:t>出现工程量清单错误时，是否调整合同价格：</w:t>
      </w:r>
      <w:r>
        <w:rPr>
          <w:rFonts w:hint="eastAsia" w:ascii="宋体" w:hAnsi="宋体" w:cs="宋体"/>
          <w:szCs w:val="21"/>
          <w:highlight w:val="none"/>
          <w:u w:val="single"/>
        </w:rPr>
        <w:t xml:space="preserve"> 是   </w:t>
      </w:r>
      <w:r>
        <w:rPr>
          <w:rFonts w:hint="eastAsia" w:ascii="宋体" w:hAnsi="宋体" w:cs="宋体"/>
          <w:kern w:val="0"/>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允许调整合同价格的工程量偏差范围：</w:t>
      </w:r>
      <w:r>
        <w:rPr>
          <w:rFonts w:hint="eastAsia" w:ascii="宋体" w:hAnsi="宋体" w:cs="宋体"/>
          <w:szCs w:val="21"/>
          <w:highlight w:val="none"/>
          <w:u w:val="single"/>
        </w:rPr>
        <w:t xml:space="preserve">     ≥±15%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textAlignment w:val="auto"/>
        <w:outlineLvl w:val="9"/>
        <w:rPr>
          <w:rFonts w:ascii="宋体" w:hAnsi="宋体" w:cs="宋体"/>
          <w:szCs w:val="21"/>
          <w:highlight w:val="none"/>
        </w:rPr>
      </w:pPr>
      <w:bookmarkStart w:id="395" w:name="_Toc29913"/>
      <w:r>
        <w:rPr>
          <w:rFonts w:hint="eastAsia" w:ascii="宋体" w:hAnsi="宋体" w:cs="宋体"/>
          <w:szCs w:val="21"/>
          <w:highlight w:val="none"/>
        </w:rPr>
        <w:t>2</w:t>
      </w:r>
      <w:bookmarkStart w:id="396" w:name="_Toc296890985"/>
      <w:bookmarkStart w:id="397" w:name="_Toc292559362"/>
      <w:bookmarkStart w:id="398" w:name="_Toc296346658"/>
      <w:bookmarkStart w:id="399" w:name="_Toc296891197"/>
      <w:bookmarkStart w:id="400" w:name="_Toc296347156"/>
      <w:bookmarkStart w:id="401" w:name="_Toc297120457"/>
      <w:bookmarkStart w:id="402" w:name="_Toc296503157"/>
      <w:bookmarkStart w:id="403" w:name="_Toc292559867"/>
      <w:bookmarkStart w:id="404" w:name="_Toc297048343"/>
      <w:bookmarkStart w:id="405" w:name="_Toc296944496"/>
      <w:r>
        <w:rPr>
          <w:rFonts w:hint="eastAsia" w:ascii="宋体" w:hAnsi="宋体" w:cs="宋体"/>
          <w:szCs w:val="21"/>
          <w:highlight w:val="none"/>
        </w:rPr>
        <w:t>. 发包人</w:t>
      </w:r>
      <w:bookmarkEnd w:id="395"/>
    </w:p>
    <w:bookmarkEnd w:id="396"/>
    <w:bookmarkEnd w:id="397"/>
    <w:bookmarkEnd w:id="398"/>
    <w:bookmarkEnd w:id="399"/>
    <w:bookmarkEnd w:id="400"/>
    <w:bookmarkEnd w:id="401"/>
    <w:bookmarkEnd w:id="402"/>
    <w:bookmarkEnd w:id="403"/>
    <w:bookmarkEnd w:id="404"/>
    <w:bookmarkEnd w:id="405"/>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发包人代表：</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身份证号：</w:t>
      </w:r>
      <w:r>
        <w:rPr>
          <w:rFonts w:hint="eastAsia" w:ascii="宋体" w:hAnsi="宋体" w:cs="宋体"/>
          <w:szCs w:val="21"/>
          <w:highlight w:val="none"/>
          <w:u w:val="single"/>
        </w:rPr>
        <w:t>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职    务：</w:t>
      </w:r>
      <w:r>
        <w:rPr>
          <w:rFonts w:hint="eastAsia" w:ascii="宋体" w:hAnsi="宋体" w:cs="宋体"/>
          <w:szCs w:val="21"/>
          <w:highlight w:val="none"/>
          <w:u w:val="single"/>
        </w:rPr>
        <w:t>/</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w:t>
      </w:r>
      <w:r>
        <w:rPr>
          <w:rFonts w:hint="eastAsia" w:ascii="宋体" w:hAnsi="宋体" w:cs="宋体"/>
          <w:szCs w:val="21"/>
          <w:highlight w:val="none"/>
        </w:rPr>
        <w:t>。</w:t>
      </w:r>
    </w:p>
    <w:p>
      <w:pPr>
        <w:keepNext w:val="0"/>
        <w:keepLines w:val="0"/>
        <w:pageBreakBefore w:val="0"/>
        <w:shd w:val="clear" w:fill="auto"/>
        <w:kinsoku/>
        <w:wordWrap/>
        <w:overflowPunct/>
        <w:topLinePunct w:val="0"/>
        <w:autoSpaceDE w:val="0"/>
        <w:autoSpaceDN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rPr>
        <w:t>发包人对发包人代表的授权范围如下：</w:t>
      </w:r>
      <w:r>
        <w:rPr>
          <w:rFonts w:hint="eastAsia" w:ascii="宋体" w:hAnsi="宋体" w:cs="宋体"/>
          <w:szCs w:val="21"/>
          <w:highlight w:val="none"/>
          <w:u w:val="single"/>
        </w:rPr>
        <w:t>除以下事项以外，发包人代表有权处理合同履行过程中与发包人有关的事宜</w:t>
      </w:r>
    </w:p>
    <w:p>
      <w:pPr>
        <w:keepNext w:val="0"/>
        <w:keepLines w:val="0"/>
        <w:pageBreakBefore w:val="0"/>
        <w:shd w:val="clear" w:fill="auto"/>
        <w:kinsoku/>
        <w:wordWrap/>
        <w:overflowPunct/>
        <w:topLinePunct w:val="0"/>
        <w:autoSpaceDE w:val="0"/>
        <w:autoSpaceDN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（1）发布暂停施工命令</w:t>
      </w:r>
    </w:p>
    <w:p>
      <w:pPr>
        <w:keepNext w:val="0"/>
        <w:keepLines w:val="0"/>
        <w:pageBreakBefore w:val="0"/>
        <w:shd w:val="clear" w:fill="auto"/>
        <w:kinsoku/>
        <w:wordWrap/>
        <w:overflowPunct/>
        <w:topLinePunct w:val="0"/>
        <w:autoSpaceDE w:val="0"/>
        <w:autoSpaceDN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（2）同意竣工验收</w:t>
      </w:r>
    </w:p>
    <w:p>
      <w:pPr>
        <w:keepNext w:val="0"/>
        <w:keepLines w:val="0"/>
        <w:pageBreakBefore w:val="0"/>
        <w:shd w:val="clear" w:fill="auto"/>
        <w:kinsoku/>
        <w:wordWrap/>
        <w:overflowPunct/>
        <w:topLinePunct w:val="0"/>
        <w:autoSpaceDE w:val="0"/>
        <w:autoSpaceDN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（3）签认竣工付款证书</w:t>
      </w:r>
    </w:p>
    <w:p>
      <w:pPr>
        <w:keepNext w:val="0"/>
        <w:keepLines w:val="0"/>
        <w:pageBreakBefore w:val="0"/>
        <w:shd w:val="clear" w:fill="auto"/>
        <w:kinsoku/>
        <w:wordWrap/>
        <w:overflowPunct/>
        <w:topLinePunct w:val="0"/>
        <w:autoSpaceDE w:val="0"/>
        <w:autoSpaceDN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（4）签发工程接受证书</w:t>
      </w:r>
    </w:p>
    <w:p>
      <w:pPr>
        <w:keepNext w:val="0"/>
        <w:keepLines w:val="0"/>
        <w:pageBreakBefore w:val="0"/>
        <w:shd w:val="clear" w:fill="auto"/>
        <w:kinsoku/>
        <w:wordWrap/>
        <w:overflowPunct/>
        <w:topLinePunct w:val="0"/>
        <w:autoSpaceDE w:val="0"/>
        <w:autoSpaceDN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（5）签发缺陷责任终止证书</w:t>
      </w:r>
    </w:p>
    <w:p>
      <w:pPr>
        <w:keepNext w:val="0"/>
        <w:keepLines w:val="0"/>
        <w:pageBreakBefore w:val="0"/>
        <w:shd w:val="clear" w:fill="auto"/>
        <w:kinsoku/>
        <w:wordWrap/>
        <w:overflowPunct/>
        <w:topLinePunct w:val="0"/>
        <w:autoSpaceDE w:val="0"/>
        <w:autoSpaceDN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（6）签发最终结清证书。</w:t>
      </w:r>
    </w:p>
    <w:p>
      <w:pPr>
        <w:keepNext w:val="0"/>
        <w:keepLines w:val="0"/>
        <w:pageBreakBefore w:val="0"/>
        <w:shd w:val="clear" w:fill="auto"/>
        <w:kinsoku/>
        <w:wordWrap/>
        <w:overflowPunct/>
        <w:topLinePunct w:val="0"/>
        <w:autoSpaceDE w:val="0"/>
        <w:autoSpaceDN w:val="0"/>
        <w:bidi w:val="0"/>
        <w:snapToGrid/>
        <w:spacing w:line="420" w:lineRule="exact"/>
        <w:ind w:left="0" w:leftChars="0" w:firstLine="420" w:firstLineChars="200"/>
        <w:textAlignment w:val="auto"/>
        <w:outlineLvl w:val="9"/>
        <w:rPr>
          <w:rFonts w:ascii="宋体" w:hAnsi="宋体" w:cs="宋体"/>
          <w:b/>
          <w:szCs w:val="21"/>
          <w:highlight w:val="none"/>
        </w:rPr>
      </w:pPr>
      <w:r>
        <w:rPr>
          <w:rFonts w:hint="eastAsia" w:ascii="宋体" w:hAnsi="宋体" w:cs="宋体"/>
          <w:szCs w:val="21"/>
          <w:highlight w:val="none"/>
          <w:u w:val="single"/>
        </w:rPr>
        <w:t xml:space="preserve">（7）其他涉及工程量、工期及工程价款增加的事项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2.3提供施工场地</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关于发包人移交施工场地的期限要求：</w:t>
      </w:r>
      <w:r>
        <w:rPr>
          <w:rFonts w:hint="eastAsia" w:ascii="宋体" w:hAnsi="宋体" w:cs="宋体"/>
          <w:szCs w:val="21"/>
          <w:highlight w:val="none"/>
          <w:u w:val="single"/>
        </w:rPr>
        <w:t xml:space="preserve">开工前三天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textAlignment w:val="auto"/>
        <w:outlineLvl w:val="9"/>
        <w:rPr>
          <w:rFonts w:ascii="宋体" w:hAnsi="宋体" w:cs="宋体"/>
          <w:szCs w:val="21"/>
          <w:highlight w:val="none"/>
        </w:rPr>
      </w:pPr>
      <w:bookmarkStart w:id="406" w:name="_Toc297048348"/>
      <w:bookmarkStart w:id="407" w:name="_Toc292559366"/>
      <w:bookmarkStart w:id="408" w:name="_Toc292559871"/>
      <w:bookmarkStart w:id="409" w:name="_Toc296347161"/>
      <w:bookmarkStart w:id="410" w:name="_Toc296891202"/>
      <w:bookmarkStart w:id="411" w:name="_Toc296944501"/>
      <w:bookmarkStart w:id="412" w:name="_Toc296503162"/>
      <w:bookmarkStart w:id="413" w:name="_Toc297120462"/>
      <w:bookmarkStart w:id="414" w:name="_Toc296890990"/>
      <w:bookmarkStart w:id="415" w:name="_Toc267251413"/>
      <w:bookmarkStart w:id="416" w:name="_Toc296346663"/>
      <w:bookmarkStart w:id="417" w:name="_Toc32700"/>
      <w:r>
        <w:rPr>
          <w:rFonts w:hint="eastAsia" w:ascii="宋体" w:hAnsi="宋体" w:cs="宋体"/>
          <w:szCs w:val="21"/>
          <w:highlight w:val="none"/>
        </w:rPr>
        <w:t>3.监</w:t>
      </w:r>
      <w:bookmarkEnd w:id="406"/>
      <w:bookmarkEnd w:id="407"/>
      <w:bookmarkEnd w:id="408"/>
      <w:bookmarkEnd w:id="409"/>
      <w:bookmarkEnd w:id="410"/>
      <w:bookmarkEnd w:id="411"/>
      <w:bookmarkEnd w:id="412"/>
      <w:bookmarkEnd w:id="413"/>
      <w:bookmarkEnd w:id="414"/>
      <w:bookmarkEnd w:id="415"/>
      <w:bookmarkEnd w:id="416"/>
      <w:r>
        <w:rPr>
          <w:rFonts w:hint="eastAsia" w:ascii="宋体" w:hAnsi="宋体" w:cs="宋体"/>
          <w:szCs w:val="21"/>
          <w:highlight w:val="none"/>
        </w:rPr>
        <w:t>理人</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3.1</w:t>
      </w:r>
      <w:r>
        <w:rPr>
          <w:rFonts w:hint="eastAsia" w:ascii="宋体" w:hAnsi="宋体"/>
          <w:szCs w:val="21"/>
          <w:highlight w:val="none"/>
        </w:rPr>
        <w:t>监理人的职责和权力</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rPr>
        <w:t>3.1.1关于监理人的监理内容：</w:t>
      </w:r>
      <w:r>
        <w:rPr>
          <w:rFonts w:hint="eastAsia" w:ascii="宋体" w:hAnsi="宋体" w:cs="宋体"/>
          <w:szCs w:val="21"/>
          <w:highlight w:val="none"/>
          <w:u w:val="single"/>
        </w:rPr>
        <w:t>（1）根据国家和省颁发的现行规范、规程、技术标准、图纸技术说明对该项目质量、安全进行系统的监督、检验、评定。</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u w:val="single"/>
        </w:rPr>
        <w:t>（2）监督施工单位建立健全质量、安全保证体系，包括人员的配备、检测手段和各种规章制度。</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u w:val="single"/>
        </w:rPr>
        <w:t>（3）接受郑州市质量监督主管部门的领导，认真落实提出的质量方面的整改意见，及时汇报工程进度和工程质量的情况。</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u w:val="single"/>
        </w:rPr>
        <w:t>（4）参与分部工程的质量检评，签署评定意见。</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u w:val="single"/>
        </w:rPr>
        <w:t>（5）组织、评定单位工程竣工预验收，参与工程竣工验收、工程质量等级评定。</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u w:val="single"/>
        </w:rPr>
        <w:t>（6）参与工程所采用的新结构、新材料、新技术、新工艺实验的质量评定。</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u w:val="single"/>
        </w:rPr>
        <w:t>（7）审查一般性质量、安全事故和重大质量、安全事故的处理方案。</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u w:val="single"/>
        </w:rPr>
        <w:t>（8）审查施工单位提出的施工组织设计、施工技术方案、安全施工专项方案和施工进度计划，提出改进意见、协调施工进度。</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u w:val="single"/>
        </w:rPr>
        <w:t xml:space="preserve">（9）根据本项目现场实施管理办法中的奖罚条款，进行奖罚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关于监理人的监理权限：监理人受发包人委托，享有合同约定的权利。监理人在行使某项权利前需要经发包人事先批准而通用合同条款没有指明的，应在专用合同条款中指明。须经发包人事先批准行使的权利：</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（1）发布开工令、暂时停工或复工令；</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（2）决定工期延长；</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（3）同意将工程的非关键、非主体结构部分分包给具有相应资质的分包人；</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（4）审查批准技术规范（规格）或设计的变更，并发出实施变更的指示；</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（5）确定工期、费用索赔及有关暂列金额的使用；</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（6）涉及责任事件的签认需要办理现场签证，以及对材料、设备单位需要进行市场询价、定价的。</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（7）对不符合规范标准、设计要求或合同约定的材料、构配件、设备指令承包人停止使用；对不符合规范和质量标准的工序、分部分项工程和不安全施工作业，指令承包人停工整改或返工。</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（8）对核算后已标价工程量清单的批准。</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（9）监理人要求承包人撤换由其派遣或雇佣的那些工作不能胜任、或玩忽职守、工作不负责任的人员，上述撤换的人员未经监理人同意不得重新回到本合同工程工作。</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 xml:space="preserve">监理人履行须经发包人批准行使的权利时，应当向承包人出示其行使该权利已经取得发包人批准的文件或者其他合法有效的证明 。 </w:t>
      </w:r>
    </w:p>
    <w:p>
      <w:pPr>
        <w:keepNext w:val="0"/>
        <w:keepLines w:val="0"/>
        <w:pageBreakBefore w:val="0"/>
        <w:shd w:val="clear" w:fill="auto"/>
        <w:kinsoku/>
        <w:wordWrap/>
        <w:overflowPunct/>
        <w:topLinePunct w:val="0"/>
        <w:bidi w:val="0"/>
        <w:snapToGrid/>
        <w:spacing w:line="420" w:lineRule="exact"/>
        <w:ind w:left="0" w:leftChars="0" w:firstLine="396" w:firstLineChars="189"/>
        <w:textAlignment w:val="auto"/>
        <w:outlineLvl w:val="9"/>
        <w:rPr>
          <w:rFonts w:ascii="宋体" w:hAnsi="宋体" w:cs="宋体"/>
          <w:szCs w:val="21"/>
          <w:highlight w:val="none"/>
          <w:u w:val="single"/>
        </w:rPr>
      </w:pPr>
      <w:r>
        <w:rPr>
          <w:rFonts w:hint="eastAsia" w:ascii="宋体" w:hAnsi="宋体" w:cs="宋体"/>
          <w:szCs w:val="21"/>
          <w:highlight w:val="none"/>
        </w:rPr>
        <w:t>关于监理人在施工现场的办公场所、生活场所的提供和费用承担的约定：</w:t>
      </w:r>
      <w:r>
        <w:rPr>
          <w:rFonts w:hint="eastAsia" w:ascii="宋体" w:hAnsi="宋体" w:cs="宋体"/>
          <w:szCs w:val="21"/>
          <w:highlight w:val="none"/>
          <w:u w:val="single"/>
        </w:rPr>
        <w:t xml:space="preserve">   由承包人承担  。</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3.2 总监理工程师</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总监理工程师：</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xml:space="preserve">_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职    务：</w:t>
      </w:r>
      <w:r>
        <w:rPr>
          <w:rFonts w:hint="eastAsia" w:ascii="宋体" w:hAnsi="宋体" w:cs="宋体"/>
          <w:szCs w:val="21"/>
          <w:highlight w:val="none"/>
          <w:u w:val="single"/>
        </w:rPr>
        <w:t xml:space="preserve">总监理工程师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监理工程师执业资格证书号：</w:t>
      </w:r>
      <w:r>
        <w:rPr>
          <w:rFonts w:hint="eastAsia" w:ascii="宋体" w:hAnsi="宋体" w:cs="宋体"/>
          <w:szCs w:val="21"/>
          <w:highlight w:val="none"/>
          <w:u w:val="single"/>
        </w:rPr>
        <w:t xml:space="preserve">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关于监理人的其他约定：</w:t>
      </w:r>
      <w:r>
        <w:rPr>
          <w:rFonts w:hint="eastAsia" w:ascii="宋体" w:hAnsi="宋体" w:cs="宋体"/>
          <w:szCs w:val="21"/>
          <w:highlight w:val="none"/>
          <w:u w:val="single"/>
        </w:rPr>
        <w:t> /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3.5 商定或确定</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在发包人和承包人不能通过协商达成一致意见时，发包人授权监理人对以下事项进行确定：</w:t>
      </w:r>
    </w:p>
    <w:p>
      <w:pPr>
        <w:keepNext w:val="0"/>
        <w:keepLines w:val="0"/>
        <w:pageBreakBefore w:val="0"/>
        <w:shd w:val="clear" w:fill="auto"/>
        <w:kinsoku/>
        <w:wordWrap/>
        <w:overflowPunct/>
        <w:topLinePunct w:val="0"/>
        <w:autoSpaceDE w:val="0"/>
        <w:autoSpaceDN w:val="0"/>
        <w:bidi w:val="0"/>
        <w:adjustRightInd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szCs w:val="21"/>
          <w:highlight w:val="none"/>
          <w:u w:val="single"/>
        </w:rPr>
        <w:t xml:space="preserve">    工程量                         </w:t>
      </w:r>
      <w:r>
        <w:rPr>
          <w:rFonts w:hint="eastAsia" w:ascii="宋体" w:hAnsi="宋体" w:cs="宋体"/>
          <w:szCs w:val="21"/>
          <w:highlight w:val="none"/>
        </w:rPr>
        <w:t>；</w:t>
      </w:r>
    </w:p>
    <w:p>
      <w:pPr>
        <w:keepNext w:val="0"/>
        <w:keepLines w:val="0"/>
        <w:pageBreakBefore w:val="0"/>
        <w:shd w:val="clear" w:fill="auto"/>
        <w:kinsoku/>
        <w:wordWrap/>
        <w:overflowPunct/>
        <w:topLinePunct w:val="0"/>
        <w:autoSpaceDE w:val="0"/>
        <w:autoSpaceDN w:val="0"/>
        <w:bidi w:val="0"/>
        <w:adjustRightInd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szCs w:val="21"/>
          <w:highlight w:val="none"/>
          <w:u w:val="single"/>
        </w:rPr>
        <w:t xml:space="preserve">        /                        </w:t>
      </w:r>
      <w:r>
        <w:rPr>
          <w:rFonts w:hint="eastAsia" w:ascii="宋体" w:hAnsi="宋体" w:cs="宋体"/>
          <w:szCs w:val="21"/>
          <w:highlight w:val="none"/>
        </w:rPr>
        <w:t>；</w:t>
      </w:r>
    </w:p>
    <w:p>
      <w:pPr>
        <w:keepNext w:val="0"/>
        <w:keepLines w:val="0"/>
        <w:pageBreakBefore w:val="0"/>
        <w:shd w:val="clear" w:fill="auto"/>
        <w:kinsoku/>
        <w:wordWrap/>
        <w:overflowPunct/>
        <w:topLinePunct w:val="0"/>
        <w:autoSpaceDE w:val="0"/>
        <w:autoSpaceDN w:val="0"/>
        <w:bidi w:val="0"/>
        <w:adjustRightInd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（3）</w:t>
      </w:r>
      <w:r>
        <w:rPr>
          <w:rFonts w:hint="eastAsia" w:ascii="宋体" w:hAnsi="宋体" w:cs="宋体"/>
          <w:szCs w:val="21"/>
          <w:highlight w:val="none"/>
          <w:u w:val="single"/>
        </w:rPr>
        <w:t xml:space="preserve">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rPr>
      </w:pPr>
      <w:bookmarkStart w:id="418" w:name="_Toc292559363"/>
      <w:bookmarkStart w:id="419" w:name="_Toc296503158"/>
      <w:bookmarkStart w:id="420" w:name="_Toc296346659"/>
      <w:bookmarkStart w:id="421" w:name="_Toc297048344"/>
      <w:bookmarkStart w:id="422" w:name="_Toc296944497"/>
      <w:bookmarkStart w:id="423" w:name="_Toc296891198"/>
      <w:bookmarkStart w:id="424" w:name="_Toc296890986"/>
      <w:bookmarkStart w:id="425" w:name="_Toc297120458"/>
      <w:bookmarkStart w:id="426" w:name="_Toc292559868"/>
      <w:bookmarkStart w:id="427" w:name="_Toc296347157"/>
      <w:r>
        <w:rPr>
          <w:rFonts w:hint="eastAsia" w:ascii="宋体" w:hAnsi="宋体" w:cs="宋体"/>
          <w:kern w:val="0"/>
          <w:szCs w:val="21"/>
          <w:highlight w:val="none"/>
        </w:rPr>
        <w:t>4. 承包人</w:t>
      </w:r>
      <w:bookmarkEnd w:id="417"/>
    </w:p>
    <w:bookmarkEnd w:id="418"/>
    <w:bookmarkEnd w:id="419"/>
    <w:bookmarkEnd w:id="420"/>
    <w:bookmarkEnd w:id="421"/>
    <w:bookmarkEnd w:id="422"/>
    <w:bookmarkEnd w:id="423"/>
    <w:bookmarkEnd w:id="424"/>
    <w:bookmarkEnd w:id="425"/>
    <w:bookmarkEnd w:id="426"/>
    <w:bookmarkEnd w:id="427"/>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rPr>
      </w:pPr>
      <w:r>
        <w:rPr>
          <w:rFonts w:hint="eastAsia" w:ascii="宋体" w:hAnsi="宋体" w:cs="宋体"/>
          <w:kern w:val="0"/>
          <w:szCs w:val="21"/>
          <w:highlight w:val="none"/>
        </w:rPr>
        <w:t xml:space="preserve">4.1 承包人的一般义务 </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rPr>
      </w:pPr>
      <w:r>
        <w:rPr>
          <w:rFonts w:hint="eastAsia" w:ascii="宋体" w:hAnsi="宋体" w:cs="宋体"/>
          <w:kern w:val="0"/>
          <w:szCs w:val="21"/>
          <w:highlight w:val="none"/>
        </w:rPr>
        <w:t>4.1.9 工程的维护和照管</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rPr>
      </w:pPr>
      <w:r>
        <w:rPr>
          <w:rFonts w:hint="eastAsia" w:ascii="宋体" w:hAnsi="宋体" w:cs="宋体"/>
          <w:kern w:val="0"/>
          <w:szCs w:val="21"/>
          <w:highlight w:val="none"/>
        </w:rPr>
        <w:t>承包人负责照管工程及工程相关的材料、工程设备的起始时间：</w:t>
      </w:r>
      <w:r>
        <w:rPr>
          <w:rFonts w:hint="eastAsia" w:ascii="宋体" w:hAnsi="宋体" w:cs="宋体"/>
          <w:kern w:val="0"/>
          <w:szCs w:val="21"/>
          <w:highlight w:val="none"/>
          <w:u w:val="single"/>
        </w:rPr>
        <w:t xml:space="preserve">  自发包人移交施工现场之日起至颁发工程接收证书之日止。期间因承包人原因造成的工程相关材料、设备、成品、半成品造成的损坏，由承包人负责修复或更换，并承担由此增加的费用（或）延误的工期 。</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u w:val="single"/>
        </w:rPr>
      </w:pPr>
      <w:r>
        <w:rPr>
          <w:rFonts w:hint="eastAsia" w:ascii="宋体" w:hAnsi="宋体" w:cs="宋体"/>
          <w:kern w:val="0"/>
          <w:szCs w:val="21"/>
          <w:highlight w:val="none"/>
        </w:rPr>
        <w:t>4.1.10其他义务：</w:t>
      </w:r>
      <w:r>
        <w:rPr>
          <w:rFonts w:hint="eastAsia" w:ascii="宋体" w:hAnsi="宋体" w:cs="宋体"/>
          <w:kern w:val="0"/>
          <w:szCs w:val="21"/>
          <w:highlight w:val="none"/>
          <w:u w:val="single"/>
        </w:rPr>
        <w:t>（1）办理法律规定应由承包人办理的许可和批准，并将办理结果书面报送发包人留存；</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（2）按法律规定和合同约定完成工程，并在保修期内承担保修义务；</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（3）按法律规定和合同约定采取施工安全和环境保护措施，办理工伤保险，确保工程及人员、材料、设备和设施的安全；</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（4）按合同约定的工作内容和施工进度要求，编制施工组织设计和施工措施计划，并对所有施工作业和施工方法的完备性和安全可靠性负责；</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5）在进行合同约定的各项工作时，不得侵害发包人与他人使用公用道路、水源、市政管网等公共设施的权利，避免对邻近的公共设施产生干扰。承包人占用或使用他人的施工场地，影响他人作业或生活的，应承担相应责任；承包人应当对在本工程施工范围内所实施与本工程有关的其他工作的独立承包人履行管理、协调、配合和服务义务，由此发生的费用由承包人协商解决，发包人不另行计价。具体工作内容和要求包括：本工程在施工过程中如存在多个单位同时作业，承包人必须顾全大局，相互协作，密切配合，严格服从发包人和监理单位的协调指挥；承包人须积极协调单位工程内各施工队伍的施工，积极协调解决施工过程中存在的各类问题，确保工程顺利进行；承包人应处理好与相邻施工单位的施工接口关系，处理好与邻里及村民等的关系并承担发生的一切费用，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（6）按照第9.4款〔环境保护〕约定负责施工场地及其周边环境与生态的保护工作；</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（7）按第9.2款〔</w:t>
      </w:r>
      <w:r>
        <w:rPr>
          <w:rFonts w:hint="eastAsia" w:ascii="宋体" w:hAnsi="宋体"/>
          <w:szCs w:val="21"/>
          <w:highlight w:val="none"/>
          <w:u w:val="single"/>
        </w:rPr>
        <w:t>承包人的施工安全责任</w:t>
      </w:r>
      <w:r>
        <w:rPr>
          <w:rFonts w:hint="eastAsia" w:ascii="宋体" w:hAnsi="宋体" w:cs="宋体"/>
          <w:kern w:val="0"/>
          <w:szCs w:val="21"/>
          <w:highlight w:val="none"/>
          <w:u w:val="single"/>
        </w:rPr>
        <w:t>〕、9.3〔</w:t>
      </w:r>
      <w:r>
        <w:rPr>
          <w:rFonts w:hint="eastAsia" w:ascii="宋体" w:hAnsi="宋体"/>
          <w:szCs w:val="21"/>
          <w:highlight w:val="none"/>
          <w:u w:val="single"/>
        </w:rPr>
        <w:t>治安保卫</w:t>
      </w:r>
      <w:r>
        <w:rPr>
          <w:rFonts w:hint="eastAsia" w:ascii="宋体" w:hAnsi="宋体" w:cs="宋体"/>
          <w:kern w:val="0"/>
          <w:szCs w:val="21"/>
          <w:highlight w:val="none"/>
          <w:u w:val="single"/>
        </w:rPr>
        <w:t>〕约定采取施工安全措施，确保工程及其人员、材料、设备和设施的安全，防止因工程施工造成的人身伤害和财产损失；</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（8）将发包人按合同约定支付的各项价款专用于合同工程，且应及时支付其雇用人员工资，并及时向分包人支付合同价款；</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9）按照法律规定和合同约定编制竣工资料，完成竣工资料立卷及归档，并按以下约定的竣工资料的套数、内容、时间等要求移交发包人：按国家、省、市相关规定和监理人的要求提供符合城建档案馆和质检监督部门要求的竣工图及竣工资料要求提交本项目建设相关竣工资料，包含所有纸质、影像等资料。具体内容包括但不限于：</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①工程竣工图(竣工图必须准确真实的反映实际施工情况) ；</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②工程施工全过程原始记录及验收单 ；</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③材料质保书、检验签证单、材料试验报告  ；</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④有关设计变更的技术资料 ；</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⑤工程施工中的检测数据、质量评定报告  ；</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⑥工程竣工结算的全部资料。</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u w:val="single"/>
        </w:rPr>
      </w:pPr>
      <w:r>
        <w:rPr>
          <w:rFonts w:hint="eastAsia" w:ascii="宋体" w:hAnsi="宋体" w:cs="宋体"/>
          <w:kern w:val="0"/>
          <w:szCs w:val="21"/>
          <w:highlight w:val="none"/>
        </w:rPr>
        <w:t>承包人需要提交的竣工资料套数：</w:t>
      </w:r>
      <w:r>
        <w:rPr>
          <w:rFonts w:hint="eastAsia" w:ascii="宋体" w:hAnsi="宋体" w:cs="宋体"/>
          <w:kern w:val="0"/>
          <w:szCs w:val="21"/>
          <w:highlight w:val="none"/>
          <w:u w:val="single"/>
        </w:rPr>
        <w:t>纸质版四套，电子版1套。</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u w:val="single"/>
        </w:rPr>
      </w:pPr>
      <w:r>
        <w:rPr>
          <w:rFonts w:hint="eastAsia" w:ascii="宋体" w:hAnsi="宋体" w:cs="宋体"/>
          <w:kern w:val="0"/>
          <w:szCs w:val="21"/>
          <w:highlight w:val="none"/>
        </w:rPr>
        <w:t>承包人提交的竣工资料的费用承担：</w:t>
      </w:r>
      <w:r>
        <w:rPr>
          <w:rFonts w:hint="eastAsia" w:ascii="宋体" w:hAnsi="宋体" w:cs="宋体"/>
          <w:kern w:val="0"/>
          <w:szCs w:val="21"/>
          <w:highlight w:val="none"/>
          <w:u w:val="single"/>
        </w:rPr>
        <w:t xml:space="preserve">   由承包人承担  。</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u w:val="single"/>
        </w:rPr>
      </w:pPr>
      <w:r>
        <w:rPr>
          <w:rFonts w:hint="eastAsia" w:ascii="宋体" w:hAnsi="宋体" w:cs="宋体"/>
          <w:kern w:val="0"/>
          <w:szCs w:val="21"/>
          <w:highlight w:val="none"/>
        </w:rPr>
        <w:t>承包人提交的竣工资料移交时间：</w:t>
      </w:r>
      <w:r>
        <w:rPr>
          <w:rFonts w:hint="eastAsia" w:ascii="宋体" w:hAnsi="宋体" w:cs="宋体"/>
          <w:kern w:val="0"/>
          <w:szCs w:val="21"/>
          <w:highlight w:val="none"/>
          <w:u w:val="single"/>
        </w:rPr>
        <w:t>工程竣工验收合格后28日历天内。</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rPr>
      </w:pPr>
      <w:r>
        <w:rPr>
          <w:rFonts w:hint="eastAsia" w:ascii="宋体" w:hAnsi="宋体" w:cs="宋体"/>
          <w:kern w:val="0"/>
          <w:szCs w:val="21"/>
          <w:highlight w:val="none"/>
        </w:rPr>
        <w:t>承包人提交的竣工资料形式要求：</w:t>
      </w:r>
      <w:r>
        <w:rPr>
          <w:rFonts w:hint="eastAsia" w:ascii="宋体" w:hAnsi="宋体" w:cs="宋体"/>
          <w:kern w:val="0"/>
          <w:szCs w:val="21"/>
          <w:highlight w:val="none"/>
          <w:u w:val="single"/>
        </w:rPr>
        <w:t>在监理单位监督下依据清单移交书面及电子、扫描文档及发包人要求的其他形式，资料必须及时、真实、准确、交圈、完整。在验收前10天提供一套竣工资料（含竣工图）；工程竣工验收后28天内，承包人再向发包人提供三套竣工资料（含竣工图）、以及一套电子竣工资料（含工程施工过程录像），应达到档案部门的归档标准、规定。</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u w:val="single"/>
        </w:rPr>
      </w:pPr>
      <w:r>
        <w:rPr>
          <w:rFonts w:hint="eastAsia" w:ascii="宋体" w:hAnsi="宋体" w:cs="宋体"/>
          <w:kern w:val="0"/>
          <w:szCs w:val="21"/>
          <w:highlight w:val="none"/>
        </w:rPr>
        <w:t>承包人提交的竣工资料形式要求：</w:t>
      </w:r>
      <w:r>
        <w:rPr>
          <w:rFonts w:hint="eastAsia" w:ascii="宋体" w:hAnsi="宋体" w:cs="宋体"/>
          <w:kern w:val="0"/>
          <w:szCs w:val="21"/>
          <w:highlight w:val="none"/>
          <w:u w:val="single"/>
        </w:rPr>
        <w:t>纸质四套（至少一份为原件，且装订成册），电子一套（含PDF扫描件）。</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rPr>
      </w:pPr>
      <w:r>
        <w:rPr>
          <w:rFonts w:hint="eastAsia" w:ascii="宋体" w:hAnsi="宋体" w:cs="宋体"/>
          <w:kern w:val="0"/>
          <w:szCs w:val="21"/>
          <w:highlight w:val="none"/>
        </w:rPr>
        <w:t>（10）承包人应履行的其他义务：</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⑴承包人应按发包人的指令，完成发包人要求的对工程内容的任何增加和删减。</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⑵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不能免除承包人的责任。</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⑶承包人应按照政府相关规定，建立健全雇员的工资发放和劳动保障制度。承包人依据法律、法规、农民工工资支付条令等有关规定要求建立健全“一金三制度”。如因雇员的工资发放和劳动保障制度不健全而引发纠纷，导致民工围堵发包人等情况的，发包人有权对自己确认的农民工工资从承包人的合同价款或履约保证金中扣除，先行支付。发包人有权解除合同，并要求承包人退场及支付10万元的违约金。严禁以任何形式招录或者使用男60周岁、女50周岁以上人员进入施工现场从事施工作业。</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⑷施工现场安全文明施工要求：扬尘污染防治需达到《关于印发河南省住房和城乡建设厅扬尘污染防治攻坚战实施细则的通知》（豫建〔2016〕184号）及河南省住房和城乡建设厅关于发布河南省工程建设标准《城市房屋建筑和市政基础设施工程及道路扬尘污染防治标准(试行)》（豫建设标〔2016〕48号）、《郑州市控制扬尘污染工作方案》、《郑州市建筑工地扬尘污染综合治理标准》等省、市相关文件的要求。承包人要保持施工场地清洁卫生，施工过程产生的生活垃圾等，承包人负责施工现场生活垃圾的清运至政府指定的垃圾场并承担其费用，在施工过程中所产生的生活垃圾清理原则为：谁产生谁清理；负责施工场地内道路铺设、维护、满足工程施工需要，符合当地政府安全文明施工要求；保证施工的排水，包括且不限于排水沟设置、污雨水排放等，费用由承包人承担；根据发包人安排负责办理施工许可证及工程所需的相关证件,发包人提供所需相关资料，双方按规定缴纳应承担的相关费用；建筑垃圾由所有施工单位各自清理并承担费用。</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⑸必须无偿做好施工场地周围地下管线和邻近建筑物、构筑物、古树名木的保护工作，因承包人造成的损失由承包人承担。</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⑹承包人负责协调周边村民、执法队、交警队、市政管理处等的关系，做到文明施工不扰民，同时协调施工造成的民扰问题，且承担协调费用。承包人应始终采取各种合理的预防措施，保证正常的施工秩序，保证现场及第三人的财产和人身安全；</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⑺承包人应严格服从发包人和监理人的协调指挥，对在施工场地或者附近实施与合同工程有关的其他工作的独立承包人履行管理、协调、配合义务并承担相关费用；同时应处理好与相邻施工单位的施工接口关系；</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⑻全面负责工程现场与周边关系协调管理工作，确保工程所需材料、机械设备及时进场施工，不影响施工进度，并确保与周围村民、所属办事处建立良好的关系，创造优越外部施工环境；</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⑻已完工程成品保护的特殊要求及费用承担：工程通过竣工验收交付发包人之前，由承包人负责保护施工范围内的已完及未完工程，费用由承包人承担；</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⑼承包人每周向业主进行施工周报，周报包含但不限于以下内容：1.安全技术交底情况；2.本周工程进度完成率及下周实施计划；3.安全自检情况及文明施工情况的处理及措施；4.施工现场人员出勤率；5.专职安全员检查记录，安全隐患的发现及整改情况；6.大气污染治理及防尘措施实施情况；7.承包人认为需上报的其他情况。每月25日报本月完成工作量和下月进度计划，工程事故报告时间按相关管理规定执行；</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⑽竣工前，承包人应将因其施工破坏的绿地、公共设施、道路、地上地下构（建）筑物及施工便道恢复至有关单位的要求，并负责清理现场施工及生活垃圾，费用由承包人负担；</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⑾设专职安全保卫人员和安全防护设施，负责施工现场安全保卫（包括现场突发事件的处理），由此发生的费用被认为已经包括在承包人的签约合同价（投标总报价）中。在施工过程中安全员迟到或未到场，发包人将对此行为进行每次5000元的罚款。由于承包人原因引起的政府监督管理部门的相关处罚与罚款由承包人承担。如因安全、质量、扬尘治理原因遭受处罚，承包人除承担相关处罚外，发包人还有权根据情况，给予承包人一次5万元至50万元不等的处罚；</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⑿在工程实施过程中和缺陷责任期内，工程出现突发状况，承包人应第一时间组织抢险维修，发生的费用由责任方承担；</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⒁每周会议要求项目经理、技术负责人、安全员必须出席。缺席一人罚款1000元，迟到一人罚款100元。</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⒁承包人必须服从发包人对项目的总体施工安排，为其他专业队伍创造条件，根据需要提供承包范围内所有室外工程施工场地；室外工程在发包人认为达到开工条件时，承包人不得以任何理由阻止室外工程的施工；承包人的临时设施、室外设备及材料布置，若影响室外工程施工，发包人有权提前14天通知承包人拆除或移位，相关费用不再计取；否则发包人有权委托第三人予以拆除，相关费用及由此给发包人造成的一切经济损失由承包人承担；</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⒂承包人在收到发包人正式施工图后，应及时组织相关技术人员认真核对各专业的施工图纸，7天内(或根据施工进度要求)提出详细的图纸会审内容清单，一式两份，一份交发包人，一份交监理，并由发包人审核后送设计单位；</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⒃由发包人组织设计单位进行图纸会审交底。承包人应认真审核施工图，对图纸中的错误、遗漏、矛盾的部份有义务在该部分开始施工前7天向发包人提出，以便发包人协调设计等单位进行更正，若承包人没有提前7天向发包人提出，则由此引起的工程延误等则发包人不予认可。实际施工过程中，承包人由于审图不严原因引起的返工费用由承包人承担；</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(17)承包人应采取一切合理的预防措施，防止承包人人员或其内部发生任何非法的、骚动、上访或无序的行为，以保持安定，保护现场及邻近人员和财产的安全；</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18）承担施工安全保卫工作的责任和要求:严格按照国家及当地政府的有关规定进行，根据工程需要，提供和维修施工照明、围栏设施、警告信号和警卫。负责施工现场安全保卫，负责管理工地现场所有施工人员的进出。未经发包人允许，不得允许参观人员进入场地。并对上述义务负全部责任。承包人未履行义务，造成工程损坏、财产损失或人身伤害等，由承包人承担相应责任及所产生的全部费用。</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（19）承包人使用的临时用水、临时用电等设施在合同执行期间，如发包人要求为其他承包人提供分表接口的，承包人应予无条件同意。</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20）承包人进入场区施工，做好现场安全文明施工及已有成品保护工作。现场运输材料、堆放材料等造成的路面的污染，承包人应该有专人负责跟踪打扫；场区的绿化、市政等公用设施做好施工期间的保护工作；现场施工及生活产生的垃圾应该每天有人清除；不允许在场区道路上搅拌砼及砂浆。</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（21）必须遵守厂区的相关制度,服从发包人管理的规定并且为发包人免费提供办公用房。</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（22）按郑州市有关规定重要地段，路口承包人应派专人疏通交通保证道路通畅，由此发生的费用被认为已经包括在承包人的签约合同价中。</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（23）四不准：1.监理未开施工令不准施工；2.安全防护措施未按要求准备完毕，施工现场污染周边环境不准施工；3.主要施工材料送检不合格，不准入场施工；4.施工方及监理方管理人员未到场，不准施工。</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（24）发包人负责征迁协调工作，承包人协助发包人的征迁协调工作。</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（25）承包人协助发包人完成施工过程中发生的赔偿工作（若发生），提交准确的现场情况报告。</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（26）每周进行安全进度评选，对评选过程中发现的问题进行处理，并根据评选结果进行奖罚。</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27）承包人采购材料需经监理人与发包人认可，满足图纸要求，符合国家规范。承包人应按设计和有关标准要求采购工程所需材料设备，主要设备和材料按照投标文件中提供的详细品牌清单。承包人采购的材料设备在使用前，承包人应按郑州市场当年行业主管部门批复要求进行检验或试验，并经发包人和监理人验收合格后方可使用，发包人验收认可并不免除承包人的任何质量责任，不合格的材料不得使用，检验或试验费用由承包人承担。</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（28）搭建临建房必须符合消防安全要求，不得使用易燃材质。</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（29）承包人具有履行施工防尘的义务，开工前由承包人自行编制施工防尘环保措施计划并承担环保责任及费用，因防尘式环保措施不到位导致处罚时由承包人承担全部责任.</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rPr>
        <w:t>（30）</w:t>
      </w:r>
      <w:r>
        <w:rPr>
          <w:rFonts w:hint="eastAsia" w:ascii="宋体" w:hAnsi="宋体" w:cs="宋体"/>
          <w:szCs w:val="21"/>
          <w:highlight w:val="none"/>
          <w:u w:val="single"/>
        </w:rPr>
        <w:t>承包人配合发包人办理项目备案、验收及相关检测监测工作等。</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4.2履约担保</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rPr>
        <w:t>承包人提供履约担保的形式、金额及期限的：</w:t>
      </w:r>
      <w:r>
        <w:rPr>
          <w:rFonts w:hint="eastAsia" w:ascii="宋体" w:hAnsi="宋体" w:cs="宋体"/>
          <w:szCs w:val="21"/>
          <w:highlight w:val="none"/>
          <w:u w:val="single"/>
        </w:rPr>
        <w:t>履约担保形式：可采用现金转账或国有商业银行、全国性股份制商业银行开具的无条件支付保函的形式进行履约担保；</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u w:val="single"/>
        </w:rPr>
        <w:t>金额：签约合同价的</w:t>
      </w:r>
      <w:r>
        <w:rPr>
          <w:rFonts w:ascii="宋体" w:hAnsi="宋体" w:cs="宋体"/>
          <w:szCs w:val="21"/>
          <w:highlight w:val="none"/>
          <w:u w:val="single"/>
        </w:rPr>
        <w:t>5</w:t>
      </w:r>
      <w:r>
        <w:rPr>
          <w:rFonts w:hint="eastAsia" w:ascii="宋体" w:hAnsi="宋体" w:cs="宋体"/>
          <w:szCs w:val="21"/>
          <w:highlight w:val="none"/>
          <w:u w:val="single"/>
        </w:rPr>
        <w:t>%</w:t>
      </w:r>
      <w:r>
        <w:rPr>
          <w:rFonts w:ascii="宋体" w:hAnsi="宋体" w:cs="宋体"/>
          <w:szCs w:val="21"/>
          <w:highlight w:val="none"/>
          <w:u w:val="singl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u w:val="single"/>
        </w:rPr>
        <w:t>递交时间：履约担保应在合同签订后</w:t>
      </w:r>
      <w:r>
        <w:rPr>
          <w:rFonts w:ascii="宋体" w:hAnsi="宋体" w:cs="宋体"/>
          <w:szCs w:val="21"/>
          <w:highlight w:val="none"/>
          <w:u w:val="single"/>
        </w:rPr>
        <w:t>7个工作日内提交给发包人</w:t>
      </w:r>
      <w:r>
        <w:rPr>
          <w:rFonts w:hint="eastAsia" w:ascii="宋体" w:hAnsi="宋体" w:cs="宋体"/>
          <w:szCs w:val="21"/>
          <w:highlight w:val="none"/>
          <w:u w:val="singl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u w:val="single"/>
        </w:rPr>
        <w:t>期限：担保有效期自签订的合同生效之日起至发包人签发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u w:val="single"/>
        </w:rPr>
        <w:t>若承包人提供的履约担保在履约担保期前届满的，承包人应当在有效期届满30天前向发包人提交有效期限相衔接履约担保，否则，发包人依约行使相应权利，提取担保金。履约担保应在监理人向承包人颁发（出具）发包人签发工程接收证书之日后28天内退还给承包人。发包人不承担承包人与履约担保有关的任何利息或其它类似的费用或者收益。</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u w:val="single"/>
        </w:rPr>
        <w:t>若承包人根据合同约定，应提供履约担保的未按期提供履约担保，发包人将不进行任何款项的支付且不承担任何违约责任。</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4.3分包</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4.3.2禁止分包的工程包括：</w:t>
      </w:r>
      <w:r>
        <w:rPr>
          <w:rFonts w:hint="eastAsia" w:ascii="宋体" w:hAnsi="宋体" w:cs="宋体"/>
          <w:szCs w:val="21"/>
          <w:highlight w:val="none"/>
          <w:u w:val="single"/>
        </w:rPr>
        <w:t>承包人不得将工程主体、关键性工作分包给第三人。除专用合同条款另有约定外，未经发包人同意，承包人不得将工程的其他部分或工作分包给第三人</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rPr>
        <w:t>允许分包的专业工程包括：</w:t>
      </w:r>
      <w:r>
        <w:rPr>
          <w:rFonts w:hint="eastAsia" w:ascii="宋体" w:hAnsi="宋体" w:cs="宋体"/>
          <w:szCs w:val="21"/>
          <w:highlight w:val="none"/>
          <w:u w:val="single"/>
        </w:rPr>
        <w:t xml:space="preserve">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其他关于分包的约定：</w:t>
      </w:r>
      <w:r>
        <w:rPr>
          <w:rFonts w:hint="eastAsia" w:ascii="宋体" w:hAnsi="宋体" w:cs="宋体"/>
          <w:szCs w:val="21"/>
          <w:highlight w:val="none"/>
          <w:u w:val="single"/>
        </w:rPr>
        <w:t xml:space="preserve">       /     </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关于分包合同价款支付的约定：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4.5承包人项目经理</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kern w:val="0"/>
          <w:szCs w:val="21"/>
          <w:highlight w:val="none"/>
        </w:rPr>
        <w:t xml:space="preserve">4.5.1 </w:t>
      </w:r>
      <w:r>
        <w:rPr>
          <w:rFonts w:hint="eastAsia" w:ascii="宋体" w:hAnsi="宋体" w:cs="宋体"/>
          <w:szCs w:val="21"/>
          <w:highlight w:val="none"/>
        </w:rPr>
        <w:t>项目经理：</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身份证号：</w:t>
      </w:r>
      <w:r>
        <w:rPr>
          <w:rFonts w:hint="eastAsia" w:ascii="宋体" w:hAnsi="宋体" w:cs="宋体"/>
          <w:szCs w:val="21"/>
          <w:highlight w:val="none"/>
          <w:u w:val="single"/>
        </w:rPr>
        <w:t>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建造师执业资格等级：</w:t>
      </w:r>
      <w:r>
        <w:rPr>
          <w:rFonts w:hint="eastAsia" w:ascii="宋体" w:hAnsi="宋体" w:cs="宋体"/>
          <w:szCs w:val="21"/>
          <w:highlight w:val="none"/>
          <w:u w:val="single"/>
        </w:rPr>
        <w:t>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建造师注册证书号：</w:t>
      </w:r>
      <w:r>
        <w:rPr>
          <w:rFonts w:hint="eastAsia" w:ascii="宋体" w:hAnsi="宋体" w:cs="宋体"/>
          <w:szCs w:val="21"/>
          <w:highlight w:val="none"/>
          <w:u w:val="single"/>
        </w:rPr>
        <w:t>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建造师执业印章号：</w:t>
      </w:r>
      <w:r>
        <w:rPr>
          <w:rFonts w:hint="eastAsia" w:ascii="宋体" w:hAnsi="宋体" w:cs="宋体"/>
          <w:szCs w:val="21"/>
          <w:highlight w:val="none"/>
          <w:u w:val="single"/>
        </w:rPr>
        <w:t>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安全生产考核合格证书号：</w:t>
      </w:r>
      <w:r>
        <w:rPr>
          <w:rFonts w:hint="eastAsia" w:ascii="宋体" w:hAnsi="宋体" w:cs="宋体"/>
          <w:szCs w:val="21"/>
          <w:highlight w:val="none"/>
          <w:u w:val="single"/>
        </w:rPr>
        <w:t></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承包人对项目经理的授权范围如下：</w:t>
      </w:r>
      <w:r>
        <w:rPr>
          <w:rFonts w:hint="eastAsia" w:ascii="宋体" w:hAnsi="宋体" w:cs="宋体"/>
          <w:szCs w:val="21"/>
          <w:highlight w:val="none"/>
          <w:u w:val="single"/>
        </w:rPr>
        <w:t>主持项目部的日常工作，代表承包人全权处理与本工程建设有关的事宜，代表承包人行使本合同约定的权利，履行本合同约定的义务。</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关于项目经理每月在施工现场的时间要求：</w:t>
      </w:r>
      <w:r>
        <w:rPr>
          <w:rFonts w:hint="eastAsia" w:ascii="宋体" w:hAnsi="宋体" w:cs="宋体"/>
          <w:szCs w:val="21"/>
          <w:highlight w:val="none"/>
          <w:u w:val="single"/>
        </w:rPr>
        <w:t xml:space="preserve"> 开工之日起到竣工结束，项目经理每周至少6日，每周必须不少于44小时在现场组织施工</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kern w:val="0"/>
          <w:szCs w:val="21"/>
          <w:highlight w:val="none"/>
        </w:rPr>
      </w:pPr>
      <w:r>
        <w:rPr>
          <w:rFonts w:hint="eastAsia" w:ascii="宋体" w:hAnsi="宋体" w:cs="宋体"/>
          <w:kern w:val="0"/>
          <w:szCs w:val="21"/>
          <w:highlight w:val="none"/>
        </w:rPr>
        <w:t>承包人未提交劳动合同，以及没有为项目经理缴纳社会保险证明的违约责任：</w:t>
      </w:r>
      <w:r>
        <w:rPr>
          <w:rFonts w:hint="eastAsia" w:ascii="宋体" w:hAnsi="宋体" w:cs="宋体"/>
          <w:szCs w:val="21"/>
          <w:highlight w:val="none"/>
          <w:u w:val="single"/>
        </w:rPr>
        <w:t xml:space="preserve"> 承包人承担3万元的违约金，责令限期提交劳动合同并补缴社会保险</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kern w:val="0"/>
          <w:szCs w:val="21"/>
          <w:highlight w:val="none"/>
        </w:rPr>
        <w:t>项目经理未经批准，擅自离开施工现场的违约责任：</w:t>
      </w:r>
      <w:r>
        <w:rPr>
          <w:rFonts w:hint="eastAsia" w:ascii="宋体" w:hAnsi="宋体" w:cs="宋体"/>
          <w:szCs w:val="21"/>
          <w:highlight w:val="none"/>
          <w:u w:val="single"/>
        </w:rPr>
        <w:t xml:space="preserve"> 擅自离场≦3天的，承包人应当承担违约金1万元；擅自离场&gt;3天的，发包人有权要求承包人更换项目经理，并承担违约金3万元，由此增加的费用和（或）延误的工期由承包人承担，发包人保留终止合同的权利。如果继任的项目经理无法胜任岗位职责，并因此导致费用增加或工期延误的，应由承包人承担</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4.6</w:t>
      </w:r>
      <w:r>
        <w:rPr>
          <w:rFonts w:hint="eastAsia" w:ascii="宋体" w:hAnsi="宋体"/>
          <w:szCs w:val="21"/>
          <w:highlight w:val="none"/>
        </w:rPr>
        <w:t>承包人人员的管理</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4.6.1 承包人提交项目管理机构及施工现场管理人员安排报告的期限：</w:t>
      </w:r>
      <w:r>
        <w:rPr>
          <w:rFonts w:hint="eastAsia" w:ascii="宋体" w:hAnsi="宋体" w:cs="宋体"/>
          <w:szCs w:val="21"/>
          <w:highlight w:val="none"/>
          <w:u w:val="single"/>
        </w:rPr>
        <w:t xml:space="preserve">接到开工通知后28天内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szCs w:val="21"/>
          <w:highlight w:val="none"/>
        </w:rPr>
      </w:pPr>
      <w:r>
        <w:rPr>
          <w:rFonts w:hint="eastAsia" w:ascii="宋体" w:hAnsi="宋体" w:cs="宋体"/>
          <w:szCs w:val="21"/>
          <w:highlight w:val="none"/>
        </w:rPr>
        <w:t>4.7</w:t>
      </w:r>
      <w:r>
        <w:rPr>
          <w:rFonts w:hint="eastAsia" w:ascii="宋体" w:hAnsi="宋体"/>
          <w:szCs w:val="21"/>
          <w:highlight w:val="none"/>
        </w:rPr>
        <w:t>撤换承包人项目经理和其他人员：</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承包人擅自更换项目经理的违约责任：</w:t>
      </w:r>
      <w:r>
        <w:rPr>
          <w:rFonts w:hint="eastAsia" w:ascii="宋体" w:hAnsi="宋体" w:cs="宋体"/>
          <w:szCs w:val="21"/>
          <w:highlight w:val="none"/>
          <w:u w:val="single"/>
        </w:rPr>
        <w:t xml:space="preserve"> 发包人有权要求承包人承担100000元的违约金，并有权解除合同并责令承包人退场，由此产生的一切损失及后果由承包人承担。</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bookmarkStart w:id="428" w:name="_Toc1617"/>
      <w:bookmarkStart w:id="429" w:name="_Toc512676393"/>
      <w:r>
        <w:rPr>
          <w:rFonts w:hint="eastAsia" w:ascii="宋体" w:hAnsi="宋体" w:cs="宋体"/>
          <w:szCs w:val="21"/>
          <w:highlight w:val="none"/>
        </w:rPr>
        <w:t>承包人无正当理由拒绝更换项目经理的违约责任：</w:t>
      </w:r>
      <w:bookmarkEnd w:id="428"/>
      <w:bookmarkEnd w:id="429"/>
      <w:r>
        <w:rPr>
          <w:rFonts w:hint="eastAsia" w:ascii="宋体" w:hAnsi="宋体" w:cs="宋体"/>
          <w:szCs w:val="21"/>
          <w:highlight w:val="none"/>
          <w:u w:val="single"/>
        </w:rPr>
        <w:t>监理人应在承包人接到第二次更换通知第29日书面通知该项目经理停止工作，并指示暂时停止工作。发包人有权要求承包人承担8万元违约金，并有权解除合同并责令承包人退场，由此产生的一切损失由承包人承担。</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承包人无正当理由拒绝撤换主要施工管理人员的违约责任：</w:t>
      </w:r>
      <w:r>
        <w:rPr>
          <w:rFonts w:hint="eastAsia" w:ascii="宋体" w:hAnsi="宋体" w:cs="宋体"/>
          <w:szCs w:val="21"/>
          <w:highlight w:val="none"/>
          <w:u w:val="single"/>
        </w:rPr>
        <w:t xml:space="preserve"> 承包人除须立即按照规定选派合格人员外，还将被扣取一定的违约金，项目经理扣款标准为：扣减30万元/人次，技术负责人扣款标准为：扣减10万元/人次，除此以外的其他主要管理人员为5万元/人次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rPr>
        <w:t>承包人主要施工管理人员离开施工现场的批准要求：</w:t>
      </w:r>
      <w:r>
        <w:rPr>
          <w:rFonts w:hint="eastAsia" w:ascii="宋体" w:hAnsi="宋体" w:cs="宋体"/>
          <w:szCs w:val="21"/>
          <w:highlight w:val="none"/>
          <w:u w:val="single"/>
        </w:rPr>
        <w:t xml:space="preserve">由总监理工程师批准，发包人认可方可离开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承包人擅自更换主要施工管理人员的违约责任：</w:t>
      </w:r>
      <w:r>
        <w:rPr>
          <w:rFonts w:hint="eastAsia" w:ascii="宋体" w:hAnsi="宋体" w:cs="宋体"/>
          <w:szCs w:val="21"/>
          <w:highlight w:val="none"/>
          <w:u w:val="single"/>
        </w:rPr>
        <w:t xml:space="preserve"> 承包人除须立即按照规定选派合格人员外，还将被扣取一定的违约金，项目经理扣款标准为：扣减30万元/人次，技术负责人扣款标准为：扣减10万元/人次，除此以外的其他主要管理人员为5万元/人次；如果项目经理擅自脱离施工现场，经监理人确认的，将处以2万元/次的违约金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承包人主要施工管理人员擅自离开施工现场的违约责任：</w:t>
      </w:r>
      <w:r>
        <w:rPr>
          <w:rFonts w:hint="eastAsia" w:ascii="宋体" w:hAnsi="宋体" w:cs="宋体"/>
          <w:szCs w:val="21"/>
          <w:highlight w:val="none"/>
          <w:u w:val="single"/>
        </w:rPr>
        <w:t xml:space="preserve"> 监理人可向承包人发出整改通知，要求其在指定的期限内改正。承包人应承担其违约所引起的费用增加和（或）工期延误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bookmarkStart w:id="430" w:name="_Toc297123519"/>
      <w:bookmarkStart w:id="431" w:name="_Toc303539128"/>
      <w:bookmarkStart w:id="432" w:name="_Toc304295549"/>
      <w:bookmarkStart w:id="433" w:name="_Toc300934971"/>
      <w:bookmarkStart w:id="434" w:name="_Toc312678015"/>
      <w:bookmarkStart w:id="435" w:name="_Toc297216178"/>
      <w:r>
        <w:rPr>
          <w:rFonts w:hint="eastAsia" w:ascii="宋体" w:hAnsi="宋体" w:cs="宋体"/>
          <w:szCs w:val="21"/>
          <w:highlight w:val="none"/>
        </w:rPr>
        <w:t>4.11不</w:t>
      </w:r>
      <w:bookmarkEnd w:id="430"/>
      <w:bookmarkEnd w:id="431"/>
      <w:bookmarkEnd w:id="432"/>
      <w:bookmarkEnd w:id="433"/>
      <w:bookmarkEnd w:id="434"/>
      <w:bookmarkEnd w:id="435"/>
      <w:r>
        <w:rPr>
          <w:rFonts w:hint="eastAsia" w:ascii="宋体" w:hAnsi="宋体" w:cs="宋体"/>
          <w:szCs w:val="21"/>
          <w:highlight w:val="none"/>
        </w:rPr>
        <w:t>利物质条件</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bookmarkStart w:id="436" w:name="_Toc297123520"/>
      <w:bookmarkStart w:id="437" w:name="_Toc300934972"/>
      <w:bookmarkStart w:id="438" w:name="_Toc304295550"/>
      <w:bookmarkStart w:id="439" w:name="_Toc318581172"/>
      <w:bookmarkStart w:id="440" w:name="_Toc303539129"/>
      <w:bookmarkStart w:id="441" w:name="_Toc312678016"/>
      <w:bookmarkStart w:id="442" w:name="_Toc297216179"/>
      <w:r>
        <w:rPr>
          <w:rFonts w:hint="eastAsia" w:ascii="宋体" w:hAnsi="宋体" w:cs="宋体"/>
          <w:szCs w:val="21"/>
          <w:highlight w:val="none"/>
        </w:rPr>
        <w:t>不利物质条件的其他情形和有关约定：</w:t>
      </w:r>
      <w:r>
        <w:rPr>
          <w:rFonts w:hint="eastAsia" w:ascii="宋体" w:hAnsi="宋体" w:cs="宋体"/>
          <w:szCs w:val="21"/>
          <w:highlight w:val="none"/>
          <w:u w:val="single"/>
        </w:rPr>
        <w:t>执行通用条款4.11 款</w:t>
      </w:r>
      <w:r>
        <w:rPr>
          <w:rFonts w:hint="eastAsia" w:ascii="宋体" w:hAnsi="宋体" w:cs="宋体"/>
          <w:szCs w:val="21"/>
          <w:highlight w:val="none"/>
        </w:rPr>
        <w:t>。</w:t>
      </w:r>
    </w:p>
    <w:bookmarkEnd w:id="436"/>
    <w:bookmarkEnd w:id="437"/>
    <w:bookmarkEnd w:id="438"/>
    <w:bookmarkEnd w:id="439"/>
    <w:bookmarkEnd w:id="440"/>
    <w:bookmarkEnd w:id="441"/>
    <w:bookmarkEnd w:id="442"/>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5.材料和工程设备</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5.1承包人提供的材料和工程设备</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rPr>
        <w:t>承包人负责采购，运输保管的材料，工程设备：</w:t>
      </w:r>
      <w:r>
        <w:rPr>
          <w:rFonts w:hint="eastAsia" w:ascii="宋体" w:hAnsi="宋体" w:cs="宋体"/>
          <w:szCs w:val="21"/>
          <w:highlight w:val="none"/>
          <w:u w:val="single"/>
        </w:rPr>
        <w:t>（1）承包人提供的材料和工程设备均由承包人负责采购、运输和保管。承包人应对其采购的材料和工程设备负责；</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（2）将各项材料和工程设备的供货人及品种、规格、数量和供货时间等报送监理人审批。承包人应向监理人提交其负责提供的材料和工程设备的质量证明文件，并满足合同约定的质量标准；</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5.2发包人提供的材料和工程设备</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（1）材料的名称、规格、数量和价格：发包人负责提供的材料和工程设备的名称、规格、数量、价格、交货方式、交货地点和计划交货日期等见合同附件十二“发包人提供的材料和工程设备一览表”。</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（2）材料的交货方式、地点和日期：发包人负责提供的材料和工程设备的交货方式、交货地点和计划交货日期等见合同附件十二“发包人提供的材料和工程设备一览表”。</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（3）工程设备的名称、规格、数量和价格：发包人负责提供的材料和工程设备的名称、规格、数量、价格、交货方式、交货地点和计划交货日期等见合同附件十二“发包人提供的材料和工程设备一览表”。</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（4）工程设备的交货方式、地点和日期：发包人负责提供的材料和工程设备的交货方式、交货地点和计划交货日期等见合同附件十二“发包人提供的材料和工程设备一览表”。</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5）材料和工程设备的接受、运输和保管：发包人应在材料和工程设备到货7天前通知承包人，承包人应会同监理人在约定的时间内，赴交货地点共同进行验收。发包人提供的材料和工程设备验收后，由承包人负责接收、运输和保管。</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rPr>
        <w:t>（6）</w:t>
      </w:r>
      <w:r>
        <w:rPr>
          <w:rFonts w:hint="eastAsia" w:ascii="宋体" w:hAnsi="宋体" w:cs="宋体"/>
          <w:kern w:val="0"/>
          <w:szCs w:val="21"/>
          <w:highlight w:val="none"/>
        </w:rPr>
        <w:t>需要承包人报送样品的材料或工程设备，样品的种类、名称、规格、数量要求：</w:t>
      </w:r>
      <w:r>
        <w:rPr>
          <w:rFonts w:hint="eastAsia" w:ascii="宋体" w:hAnsi="宋体" w:cs="宋体"/>
          <w:szCs w:val="21"/>
          <w:highlight w:val="none"/>
          <w:u w:val="single"/>
        </w:rPr>
        <w:t>按质量监督部门要求的施工过程中各环节须进行报送的要求实施，主要材料需经监理和发包人书面认可才能使用 。</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6.施工设备和临时设施</w:t>
      </w:r>
    </w:p>
    <w:p>
      <w:pPr>
        <w:keepNext w:val="0"/>
        <w:keepLines w:val="0"/>
        <w:pageBreakBefore w:val="0"/>
        <w:shd w:val="clear" w:fill="auto"/>
        <w:kinsoku/>
        <w:wordWrap/>
        <w:overflowPunct/>
        <w:topLinePunct w:val="0"/>
        <w:autoSpaceDE w:val="0"/>
        <w:autoSpaceDN w:val="0"/>
        <w:bidi w:val="0"/>
        <w:adjustRightInd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6.1承包人提供的施工设备和临时设施</w:t>
      </w:r>
    </w:p>
    <w:p>
      <w:pPr>
        <w:keepNext w:val="0"/>
        <w:keepLines w:val="0"/>
        <w:pageBreakBefore w:val="0"/>
        <w:shd w:val="clear" w:fill="auto"/>
        <w:kinsoku/>
        <w:wordWrap/>
        <w:overflowPunct/>
        <w:topLinePunct w:val="0"/>
        <w:autoSpaceDE w:val="0"/>
        <w:autoSpaceDN w:val="0"/>
        <w:bidi w:val="0"/>
        <w:adjustRightInd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关于修建临时设施费用承担的约定：</w:t>
      </w:r>
      <w:r>
        <w:rPr>
          <w:rFonts w:hint="eastAsia" w:ascii="宋体" w:hAnsi="宋体" w:cs="宋体"/>
          <w:szCs w:val="21"/>
          <w:highlight w:val="none"/>
          <w:u w:val="single"/>
        </w:rPr>
        <w:t>由承包人承担</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textAlignment w:val="auto"/>
        <w:outlineLvl w:val="9"/>
        <w:rPr>
          <w:rFonts w:ascii="宋体" w:hAnsi="宋体" w:cs="宋体"/>
          <w:szCs w:val="21"/>
          <w:highlight w:val="none"/>
        </w:rPr>
      </w:pPr>
      <w:bookmarkStart w:id="443" w:name="_Toc292559872"/>
      <w:bookmarkStart w:id="444" w:name="_Toc297120463"/>
      <w:bookmarkStart w:id="445" w:name="_Toc296890991"/>
      <w:bookmarkStart w:id="446" w:name="_Toc296944502"/>
      <w:bookmarkStart w:id="447" w:name="_Toc292559367"/>
      <w:bookmarkStart w:id="448" w:name="_Toc296891203"/>
      <w:bookmarkStart w:id="449" w:name="_Toc296347162"/>
      <w:bookmarkStart w:id="450" w:name="_Toc296503163"/>
      <w:bookmarkStart w:id="451" w:name="_Toc296346664"/>
      <w:bookmarkStart w:id="452" w:name="_Toc297048349"/>
      <w:r>
        <w:rPr>
          <w:rFonts w:hint="eastAsia" w:ascii="宋体" w:hAnsi="宋体" w:cs="宋体"/>
          <w:szCs w:val="21"/>
          <w:highlight w:val="none"/>
        </w:rPr>
        <w:t>7.交通运输</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7.1 道路通行权和场外设施</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rPr>
        <w:t>关于出入现场的权利的约定：</w:t>
      </w:r>
      <w:r>
        <w:rPr>
          <w:rFonts w:hint="eastAsia" w:ascii="宋体" w:hAnsi="宋体" w:cs="宋体"/>
          <w:szCs w:val="21"/>
          <w:highlight w:val="none"/>
          <w:u w:val="single"/>
        </w:rPr>
        <w:t>执行通用条款7.1项，施工现场内临时道路由承包人负责建设并承担相关费用。</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kern w:val="0"/>
          <w:szCs w:val="21"/>
          <w:highlight w:val="none"/>
        </w:rPr>
        <w:t>关于场外交通和场内交通的边界的约定：</w:t>
      </w:r>
      <w:r>
        <w:rPr>
          <w:rFonts w:hint="eastAsia" w:ascii="宋体" w:hAnsi="宋体" w:cs="宋体"/>
          <w:szCs w:val="21"/>
          <w:highlight w:val="none"/>
          <w:u w:val="single"/>
        </w:rPr>
        <w:t>施工现场封闭围挡范围以内为场内交通，范围以外为场外交通。</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关于发包人向承包人免费提供满足工程施工需要的场内道路和交通设施的约定：</w:t>
      </w:r>
      <w:r>
        <w:rPr>
          <w:rFonts w:hint="eastAsia" w:ascii="宋体" w:hAnsi="宋体" w:cs="宋体"/>
          <w:szCs w:val="21"/>
          <w:highlight w:val="none"/>
          <w:u w:val="single"/>
        </w:rPr>
        <w:t>按通用条款执行</w:t>
      </w:r>
      <w:r>
        <w:rPr>
          <w:rFonts w:hint="eastAsia" w:ascii="宋体" w:hAnsi="宋体" w:cs="宋体"/>
          <w:szCs w:val="21"/>
          <w:highlight w:val="none"/>
        </w:rPr>
        <w:t xml:space="preserve">。  </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7.4超大件和超重件的运输</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运输超大件或超重件所需的道路和桥梁临时加固改造费用和其他有关费用由</w:t>
      </w:r>
      <w:r>
        <w:rPr>
          <w:rFonts w:hint="eastAsia" w:ascii="宋体" w:hAnsi="宋体" w:cs="宋体"/>
          <w:szCs w:val="21"/>
          <w:highlight w:val="none"/>
          <w:u w:val="single"/>
        </w:rPr>
        <w:t xml:space="preserve">承包人负责运输的超大件或超重件，应由承包人负责向交通管理部门办理申请手续，发包人给予协助。运输超大件或超重件所需的道路和桥梁临时加固改造费用和其他有关费用，由承包人承担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textAlignment w:val="auto"/>
        <w:outlineLvl w:val="9"/>
        <w:rPr>
          <w:rFonts w:ascii="宋体" w:hAnsi="宋体" w:cs="宋体"/>
          <w:szCs w:val="21"/>
          <w:highlight w:val="none"/>
        </w:rPr>
      </w:pPr>
      <w:bookmarkStart w:id="453" w:name="_Toc303539106"/>
      <w:bookmarkStart w:id="454" w:name="_Toc297123496"/>
      <w:bookmarkStart w:id="455" w:name="_Toc300934949"/>
      <w:bookmarkStart w:id="456" w:name="_Toc297216155"/>
      <w:bookmarkStart w:id="457" w:name="_Toc318581164"/>
      <w:bookmarkStart w:id="458" w:name="_Toc304295527"/>
      <w:bookmarkStart w:id="459" w:name="_Toc312677997"/>
      <w:r>
        <w:rPr>
          <w:rFonts w:hint="eastAsia" w:ascii="宋体" w:hAnsi="宋体" w:cs="宋体"/>
          <w:szCs w:val="21"/>
          <w:highlight w:val="none"/>
        </w:rPr>
        <w:t>8.测量放线</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rPr>
        <w:t>8.1.1发包人通过监理人向承包人提供测量基准点、基准线和水准点及其书面资料的期限：</w:t>
      </w:r>
      <w:r>
        <w:rPr>
          <w:rFonts w:hint="eastAsia" w:ascii="宋体" w:hAnsi="宋体" w:cs="宋体"/>
          <w:szCs w:val="21"/>
          <w:highlight w:val="none"/>
          <w:u w:val="single"/>
        </w:rPr>
        <w:t xml:space="preserve">  开工前7天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jc w:val="left"/>
        <w:textAlignment w:val="auto"/>
        <w:outlineLvl w:val="9"/>
        <w:rPr>
          <w:rFonts w:ascii="宋体" w:hAnsi="宋体" w:cs="宋体"/>
          <w:szCs w:val="21"/>
          <w:highlight w:val="none"/>
        </w:rPr>
      </w:pPr>
      <w:r>
        <w:rPr>
          <w:rFonts w:hint="eastAsia" w:ascii="宋体" w:hAnsi="宋体" w:cs="宋体"/>
          <w:szCs w:val="21"/>
          <w:highlight w:val="none"/>
        </w:rPr>
        <w:t>9.施工安全、治安保卫和环境保护</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9.1.1.1项目安全生产的达标目标及相应事项的约定：</w:t>
      </w:r>
    </w:p>
    <w:p>
      <w:pPr>
        <w:keepNext w:val="0"/>
        <w:keepLines w:val="0"/>
        <w:pageBreakBefore w:val="0"/>
        <w:shd w:val="clear" w:fill="auto"/>
        <w:kinsoku/>
        <w:wordWrap/>
        <w:overflowPunct/>
        <w:topLinePunct w:val="0"/>
        <w:bidi w:val="0"/>
        <w:snapToGrid/>
        <w:spacing w:line="420" w:lineRule="exact"/>
        <w:ind w:left="0" w:leftChars="0" w:firstLine="495" w:firstLineChars="236"/>
        <w:jc w:val="left"/>
        <w:textAlignment w:val="auto"/>
        <w:outlineLvl w:val="9"/>
        <w:rPr>
          <w:rFonts w:ascii="宋体" w:hAnsi="宋体" w:cs="宋体"/>
          <w:szCs w:val="21"/>
          <w:highlight w:val="none"/>
          <w:u w:val="single"/>
        </w:rPr>
      </w:pPr>
      <w:r>
        <w:rPr>
          <w:rFonts w:hint="eastAsia" w:ascii="宋体" w:hAnsi="宋体" w:cs="宋体"/>
          <w:szCs w:val="21"/>
          <w:highlight w:val="none"/>
          <w:u w:val="single"/>
        </w:rPr>
        <w:t>（1）承包人应遵守工程建设安全生产有关管理规定，严格按现行安全标准组织施工，并随时接受行业安全检查人员依法实施的监督检查，采取必要的安全防护措施，消除事故隐患。其安全施工防护费用已经含在合同价款内。本工程在整个施工期间杜绝一切人身伤亡和重大质量安全事故，如发生上述事故，则视为承包人违约；在施工期间每发生一起人身损害（不包括死亡）事故，承包人除了接受政府相关部门处罚外，承包人须向发包人支付违约金10万元；每发生一起人身死亡事故承包人除接受相关部门处罚外，承包人须向发包人支付违约金20万元；</w:t>
      </w:r>
    </w:p>
    <w:p>
      <w:pPr>
        <w:keepNext w:val="0"/>
        <w:keepLines w:val="0"/>
        <w:pageBreakBefore w:val="0"/>
        <w:shd w:val="clear" w:fill="auto"/>
        <w:kinsoku/>
        <w:wordWrap/>
        <w:overflowPunct/>
        <w:topLinePunct w:val="0"/>
        <w:bidi w:val="0"/>
        <w:snapToGrid/>
        <w:spacing w:line="420" w:lineRule="exact"/>
        <w:ind w:left="0" w:leftChars="0" w:firstLine="495" w:firstLineChars="236"/>
        <w:jc w:val="left"/>
        <w:textAlignment w:val="auto"/>
        <w:outlineLvl w:val="9"/>
        <w:rPr>
          <w:rFonts w:ascii="宋体" w:hAnsi="宋体" w:cs="宋体"/>
          <w:szCs w:val="21"/>
          <w:highlight w:val="none"/>
        </w:rPr>
      </w:pPr>
      <w:r>
        <w:rPr>
          <w:rFonts w:hint="eastAsia" w:ascii="宋体" w:hAnsi="宋体" w:cs="宋体"/>
          <w:szCs w:val="21"/>
          <w:highlight w:val="none"/>
          <w:u w:val="single"/>
        </w:rPr>
        <w:t>（2）防扬尘措施需购置专门设备，若未按要求设置防扬尘措施，发包人将自行购置防扬尘设备，购置费及安装费从进度款中扣除</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396" w:firstLineChars="189"/>
        <w:jc w:val="left"/>
        <w:textAlignment w:val="auto"/>
        <w:outlineLvl w:val="9"/>
        <w:rPr>
          <w:rFonts w:ascii="宋体" w:hAnsi="宋体" w:cs="宋体"/>
          <w:szCs w:val="21"/>
          <w:highlight w:val="none"/>
          <w:u w:val="single"/>
        </w:rPr>
      </w:pPr>
      <w:r>
        <w:rPr>
          <w:rFonts w:hint="eastAsia" w:ascii="宋体" w:hAnsi="宋体" w:cs="宋体"/>
          <w:szCs w:val="21"/>
          <w:highlight w:val="none"/>
        </w:rPr>
        <w:t>9.1.1.2关于治安保卫的特别约定：</w:t>
      </w:r>
      <w:r>
        <w:rPr>
          <w:rFonts w:hint="eastAsia" w:ascii="宋体" w:hAnsi="宋体" w:cs="宋体"/>
          <w:szCs w:val="21"/>
          <w:highlight w:val="none"/>
          <w:u w:val="single"/>
        </w:rPr>
        <w:t xml:space="preserve"> 关于编制施工场地治安管理计划的约定：承包人应与当地公安部门协调在现场建立治安管理机构或联防组织统一管理施工场地的治安保卫事项。履行合同工程的治安保卫责任 ，其它按通用条款执行。</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rPr>
        <w:t>9.1.1.3合同当事人对文明施工的要求：</w:t>
      </w:r>
      <w:r>
        <w:rPr>
          <w:rFonts w:hint="eastAsia" w:ascii="宋体" w:hAnsi="宋体" w:cs="宋体"/>
          <w:szCs w:val="21"/>
          <w:highlight w:val="none"/>
          <w:u w:val="single"/>
        </w:rPr>
        <w:t>1、贯彻落实《河南省建筑施工现场扬尘防治管理暂行规定的通知》、《郑州市控制扬尘污染工作方案》、《郑州市建筑工地扬尘污染综合治理标准》等政府实时发布的关于扬尘治理、大气污染防治的各类相关文件及政策执行，同时承包人必须明确由专人负责现场的文明施工工作。2、按郑州市环境污染防治攻坚战领导小组办公室关于进一步加强扬尘污染治理工作的通知（郑环攻坚办[2019]192号文）及关于印发《郑州市扬尘污染治理标准（试行）》 的通知（郑控尘办[2019]101号文）要求执行。3、防扬尘措施需购置洒水车、雾炮等专门设备，若未按要求设置防扬尘措施，业主将自行购置防扬尘设备，购置费及安装费从进度款中扣除。4、安全文明施工要求执行上述政府文件精神，但不限于上述文件严格执行相关部门实时发布的最新文件要求。</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关于编制施工场地治安管理计划的约定：</w:t>
      </w:r>
      <w:r>
        <w:rPr>
          <w:rFonts w:hint="eastAsia" w:ascii="宋体" w:hAnsi="宋体" w:cs="宋体"/>
          <w:szCs w:val="21"/>
          <w:highlight w:val="none"/>
          <w:u w:val="single"/>
        </w:rPr>
        <w:t>开工前5日提供</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rPr>
        <w:t>9.1.1.4关于安全文明施工费支付比例和支付期限的约定：</w:t>
      </w:r>
      <w:r>
        <w:rPr>
          <w:rFonts w:hint="eastAsia" w:ascii="宋体" w:hAnsi="宋体" w:cs="宋体"/>
          <w:szCs w:val="21"/>
          <w:highlight w:val="none"/>
          <w:u w:val="single"/>
        </w:rPr>
        <w:t>与进度款同期支付。</w:t>
      </w:r>
    </w:p>
    <w:bookmarkEnd w:id="453"/>
    <w:bookmarkEnd w:id="454"/>
    <w:bookmarkEnd w:id="455"/>
    <w:bookmarkEnd w:id="456"/>
    <w:bookmarkEnd w:id="457"/>
    <w:bookmarkEnd w:id="458"/>
    <w:bookmarkEnd w:id="459"/>
    <w:p>
      <w:pPr>
        <w:keepNext w:val="0"/>
        <w:keepLines w:val="0"/>
        <w:pageBreakBefore w:val="0"/>
        <w:shd w:val="clear" w:fill="auto"/>
        <w:kinsoku/>
        <w:wordWrap/>
        <w:overflowPunct/>
        <w:topLinePunct w:val="0"/>
        <w:bidi w:val="0"/>
        <w:snapToGrid/>
        <w:spacing w:line="420" w:lineRule="exact"/>
        <w:ind w:left="0" w:leftChars="0"/>
        <w:jc w:val="left"/>
        <w:textAlignment w:val="auto"/>
        <w:outlineLvl w:val="9"/>
        <w:rPr>
          <w:rFonts w:ascii="宋体" w:hAnsi="宋体" w:cs="宋体"/>
          <w:szCs w:val="21"/>
          <w:highlight w:val="none"/>
        </w:rPr>
      </w:pPr>
      <w:r>
        <w:rPr>
          <w:rFonts w:hint="eastAsia" w:ascii="宋体" w:hAnsi="宋体" w:cs="宋体"/>
          <w:szCs w:val="21"/>
          <w:highlight w:val="none"/>
        </w:rPr>
        <w:t>10.进度计划</w:t>
      </w:r>
    </w:p>
    <w:p>
      <w:pPr>
        <w:keepNext w:val="0"/>
        <w:keepLines w:val="0"/>
        <w:pageBreakBefore w:val="0"/>
        <w:shd w:val="clear" w:fill="auto"/>
        <w:kinsoku/>
        <w:wordWrap/>
        <w:overflowPunct/>
        <w:topLinePunct w:val="0"/>
        <w:autoSpaceDE w:val="0"/>
        <w:autoSpaceDN w:val="0"/>
        <w:bidi w:val="0"/>
        <w:adjustRightInd w:val="0"/>
        <w:snapToGrid/>
        <w:spacing w:line="420" w:lineRule="exact"/>
        <w:ind w:left="0" w:leftChars="0" w:firstLine="371" w:firstLineChars="177"/>
        <w:jc w:val="left"/>
        <w:textAlignment w:val="auto"/>
        <w:outlineLvl w:val="9"/>
        <w:rPr>
          <w:rFonts w:ascii="宋体" w:hAnsi="宋体" w:cs="宋体"/>
          <w:szCs w:val="21"/>
          <w:highlight w:val="none"/>
        </w:rPr>
      </w:pPr>
      <w:r>
        <w:rPr>
          <w:rFonts w:hint="eastAsia" w:ascii="宋体" w:hAnsi="宋体" w:cs="宋体"/>
          <w:szCs w:val="21"/>
          <w:highlight w:val="none"/>
        </w:rPr>
        <w:t>10.1 合同进度计划</w:t>
      </w:r>
    </w:p>
    <w:p>
      <w:pPr>
        <w:keepNext w:val="0"/>
        <w:keepLines w:val="0"/>
        <w:pageBreakBefore w:val="0"/>
        <w:shd w:val="clear" w:fill="auto"/>
        <w:kinsoku/>
        <w:wordWrap/>
        <w:overflowPunct/>
        <w:topLinePunct w:val="0"/>
        <w:autoSpaceDE w:val="0"/>
        <w:autoSpaceDN w:val="0"/>
        <w:bidi w:val="0"/>
        <w:adjustRightInd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szCs w:val="21"/>
          <w:highlight w:val="none"/>
        </w:rPr>
        <w:t>10.1.1</w:t>
      </w:r>
      <w:r>
        <w:rPr>
          <w:rFonts w:hint="eastAsia" w:ascii="宋体" w:hAnsi="宋体" w:cs="宋体"/>
          <w:kern w:val="0"/>
          <w:szCs w:val="21"/>
          <w:highlight w:val="none"/>
        </w:rPr>
        <w:t>施工组织设计的提交和修改</w:t>
      </w:r>
    </w:p>
    <w:p>
      <w:pPr>
        <w:keepNext w:val="0"/>
        <w:keepLines w:val="0"/>
        <w:pageBreakBefore w:val="0"/>
        <w:shd w:val="clear" w:fill="auto"/>
        <w:kinsoku/>
        <w:wordWrap/>
        <w:overflowPunct/>
        <w:topLinePunct w:val="0"/>
        <w:autoSpaceDE w:val="0"/>
        <w:autoSpaceDN w:val="0"/>
        <w:bidi w:val="0"/>
        <w:adjustRightInd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kern w:val="0"/>
          <w:szCs w:val="21"/>
          <w:highlight w:val="none"/>
        </w:rPr>
        <w:t>承包人提交详细施工组织设计的期限的约定：</w:t>
      </w:r>
      <w:r>
        <w:rPr>
          <w:rFonts w:hint="eastAsia" w:ascii="宋体" w:hAnsi="宋体" w:cs="宋体"/>
          <w:szCs w:val="21"/>
          <w:highlight w:val="none"/>
          <w:u w:val="single"/>
        </w:rPr>
        <w:t xml:space="preserve"> 开工前7天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rPr>
        <w:t>发包人和监理人在收到详细的施工组织设计后确认或提出修改意见的期限：</w:t>
      </w:r>
      <w:r>
        <w:rPr>
          <w:rFonts w:hint="eastAsia" w:ascii="宋体" w:hAnsi="宋体" w:cs="宋体"/>
          <w:szCs w:val="21"/>
          <w:highlight w:val="none"/>
          <w:u w:val="single"/>
        </w:rPr>
        <w:t>收到修订的施工进度计划后7天内。</w:t>
      </w:r>
    </w:p>
    <w:p>
      <w:pPr>
        <w:keepNext w:val="0"/>
        <w:keepLines w:val="0"/>
        <w:pageBreakBefore w:val="0"/>
        <w:shd w:val="clear" w:fill="auto"/>
        <w:kinsoku/>
        <w:wordWrap/>
        <w:overflowPunct/>
        <w:topLinePunct w:val="0"/>
        <w:autoSpaceDE w:val="0"/>
        <w:autoSpaceDN w:val="0"/>
        <w:bidi w:val="0"/>
        <w:adjustRightInd w:val="0"/>
        <w:snapToGrid/>
        <w:spacing w:line="420" w:lineRule="exact"/>
        <w:ind w:left="0" w:leftChars="0" w:firstLine="371" w:firstLineChars="177"/>
        <w:jc w:val="left"/>
        <w:textAlignment w:val="auto"/>
        <w:outlineLvl w:val="9"/>
        <w:rPr>
          <w:rFonts w:ascii="宋体" w:hAnsi="宋体" w:cs="宋体"/>
          <w:szCs w:val="21"/>
          <w:highlight w:val="none"/>
        </w:rPr>
      </w:pPr>
      <w:bookmarkStart w:id="460" w:name="_Toc297216173"/>
      <w:bookmarkStart w:id="461" w:name="_Toc304295541"/>
      <w:bookmarkStart w:id="462" w:name="_Toc297123514"/>
      <w:bookmarkStart w:id="463" w:name="_Toc312678005"/>
      <w:bookmarkStart w:id="464" w:name="_Toc303539123"/>
      <w:bookmarkStart w:id="465" w:name="_Toc312677479"/>
      <w:bookmarkStart w:id="466" w:name="_Toc300934966"/>
      <w:r>
        <w:rPr>
          <w:rFonts w:hint="eastAsia" w:ascii="宋体" w:hAnsi="宋体" w:cs="宋体"/>
          <w:szCs w:val="21"/>
          <w:highlight w:val="none"/>
        </w:rPr>
        <w:t>10.2 合同进度计划的修订</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rPr>
        <w:t>发包人和监理人在收到修订的施工进度计划后确认或提出修改意见的期限：</w:t>
      </w:r>
      <w:r>
        <w:rPr>
          <w:rFonts w:hint="eastAsia" w:ascii="宋体" w:hAnsi="宋体" w:cs="宋体"/>
          <w:szCs w:val="21"/>
          <w:highlight w:val="none"/>
          <w:u w:val="single"/>
        </w:rPr>
        <w:t>收到修订的施工进度计划后7天内。</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11. 开工和竣工</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11.1开工</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11.1.1开工通知</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因发包人原因造成监理人未能在计划开工日期之日起</w:t>
      </w:r>
      <w:r>
        <w:rPr>
          <w:rFonts w:hint="eastAsia" w:ascii="宋体" w:hAnsi="宋体" w:cs="宋体"/>
          <w:szCs w:val="21"/>
          <w:highlight w:val="none"/>
          <w:u w:val="single"/>
        </w:rPr>
        <w:t xml:space="preserve"> 180 </w:t>
      </w:r>
      <w:r>
        <w:rPr>
          <w:rFonts w:hint="eastAsia" w:ascii="宋体" w:hAnsi="宋体" w:cs="宋体"/>
          <w:szCs w:val="21"/>
          <w:highlight w:val="none"/>
        </w:rPr>
        <w:t>天内发出开工通知的，承包人有权提出价格调整要求，或者解除合同。</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11.1.2开工准备</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rPr>
        <w:t>关于承包人提交</w:t>
      </w:r>
      <w:r>
        <w:rPr>
          <w:rFonts w:hint="eastAsia" w:ascii="宋体" w:hAnsi="宋体" w:cs="宋体"/>
          <w:kern w:val="0"/>
          <w:szCs w:val="21"/>
          <w:highlight w:val="none"/>
        </w:rPr>
        <w:t>工程开工报审表的期限：</w:t>
      </w:r>
      <w:r>
        <w:rPr>
          <w:rFonts w:hint="eastAsia" w:ascii="宋体" w:hAnsi="宋体" w:cs="宋体"/>
          <w:szCs w:val="21"/>
          <w:highlight w:val="none"/>
          <w:u w:val="single"/>
        </w:rPr>
        <w:t xml:space="preserve"> 开工前7天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关于发包人应完成的其他开工准备工作及期限：</w:t>
      </w:r>
      <w:r>
        <w:rPr>
          <w:rFonts w:hint="eastAsia" w:ascii="宋体" w:hAnsi="宋体" w:cs="宋体"/>
          <w:szCs w:val="21"/>
          <w:highlight w:val="none"/>
          <w:u w:val="single"/>
        </w:rPr>
        <w:t xml:space="preserve">  开工前7天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关于承包人应完成的其他开工准备工作及期限：</w:t>
      </w:r>
      <w:r>
        <w:rPr>
          <w:rFonts w:hint="eastAsia" w:ascii="宋体" w:hAnsi="宋体" w:cs="宋体"/>
          <w:szCs w:val="21"/>
          <w:highlight w:val="none"/>
          <w:u w:val="single"/>
        </w:rPr>
        <w:t xml:space="preserve">   开工前7天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bookmarkStart w:id="467" w:name="_Toc312678017"/>
      <w:bookmarkStart w:id="468" w:name="_Toc303539130"/>
      <w:bookmarkStart w:id="469" w:name="_Toc297216180"/>
      <w:bookmarkStart w:id="470" w:name="_Toc300934973"/>
      <w:bookmarkStart w:id="471" w:name="_Toc304295551"/>
      <w:bookmarkStart w:id="472" w:name="_Toc297123521"/>
      <w:bookmarkStart w:id="473" w:name="_Toc297123516"/>
      <w:bookmarkStart w:id="474" w:name="_Toc304295546"/>
      <w:bookmarkStart w:id="475" w:name="_Toc312678010"/>
      <w:bookmarkStart w:id="476" w:name="_Toc303539125"/>
      <w:bookmarkStart w:id="477" w:name="_Toc297216175"/>
      <w:bookmarkStart w:id="478" w:name="_Toc312677484"/>
      <w:bookmarkStart w:id="479" w:name="_Toc300934968"/>
      <w:r>
        <w:rPr>
          <w:rFonts w:hint="eastAsia" w:ascii="宋体" w:hAnsi="宋体" w:cs="宋体"/>
          <w:szCs w:val="21"/>
          <w:highlight w:val="none"/>
        </w:rPr>
        <w:t>11.4异常恶劣的气候条件</w:t>
      </w:r>
    </w:p>
    <w:bookmarkEnd w:id="467"/>
    <w:bookmarkEnd w:id="468"/>
    <w:bookmarkEnd w:id="469"/>
    <w:bookmarkEnd w:id="470"/>
    <w:bookmarkEnd w:id="471"/>
    <w:bookmarkEnd w:id="472"/>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发包人和承包人同意以下情形视为异常恶劣的气候条件：</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 xml:space="preserve">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11.5承包人的工期延误</w:t>
      </w:r>
    </w:p>
    <w:bookmarkEnd w:id="473"/>
    <w:bookmarkEnd w:id="474"/>
    <w:bookmarkEnd w:id="475"/>
    <w:bookmarkEnd w:id="476"/>
    <w:bookmarkEnd w:id="477"/>
    <w:bookmarkEnd w:id="478"/>
    <w:bookmarkEnd w:id="479"/>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bookmarkStart w:id="480" w:name="_Toc300934970"/>
      <w:bookmarkStart w:id="481" w:name="_Toc297216177"/>
      <w:bookmarkStart w:id="482" w:name="_Toc297123518"/>
      <w:bookmarkStart w:id="483" w:name="_Toc303539127"/>
      <w:bookmarkStart w:id="484" w:name="_Toc304295548"/>
      <w:r>
        <w:rPr>
          <w:rFonts w:hint="eastAsia" w:ascii="宋体" w:hAnsi="宋体" w:cs="宋体"/>
          <w:szCs w:val="21"/>
          <w:highlight w:val="none"/>
        </w:rPr>
        <w:t>因</w:t>
      </w:r>
      <w:bookmarkStart w:id="485" w:name="_Toc318581170"/>
      <w:bookmarkStart w:id="486" w:name="_Toc312677487"/>
      <w:bookmarkStart w:id="487" w:name="_Toc312678013"/>
      <w:r>
        <w:rPr>
          <w:rFonts w:hint="eastAsia" w:ascii="宋体" w:hAnsi="宋体" w:cs="宋体"/>
          <w:szCs w:val="21"/>
          <w:highlight w:val="none"/>
        </w:rPr>
        <w:t>承包人原因造成工期延误，逾期竣工违约金的计算方法为：</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u w:val="single"/>
        </w:rPr>
        <w:t xml:space="preserve">每拖延一天，由承包人向发包人按合同总造价的1‰支付违约金 </w:t>
      </w:r>
      <w:r>
        <w:rPr>
          <w:rFonts w:hint="eastAsia" w:ascii="宋体" w:hAnsi="宋体" w:cs="宋体"/>
          <w:szCs w:val="21"/>
          <w:highlight w:val="none"/>
        </w:rPr>
        <w:t>。</w:t>
      </w:r>
      <w:bookmarkEnd w:id="480"/>
      <w:bookmarkEnd w:id="481"/>
      <w:bookmarkEnd w:id="482"/>
      <w:bookmarkEnd w:id="483"/>
      <w:bookmarkEnd w:id="484"/>
      <w:bookmarkEnd w:id="485"/>
      <w:bookmarkEnd w:id="486"/>
      <w:bookmarkEnd w:id="487"/>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rPr>
        <w:t>因承包人原因造成工期延误，逾</w:t>
      </w:r>
      <w:bookmarkStart w:id="488" w:name="_Toc318581171"/>
      <w:bookmarkStart w:id="489" w:name="_Toc312678014"/>
      <w:r>
        <w:rPr>
          <w:rFonts w:hint="eastAsia" w:ascii="宋体" w:hAnsi="宋体" w:cs="宋体"/>
          <w:szCs w:val="21"/>
          <w:highlight w:val="none"/>
        </w:rPr>
        <w:t>期竣工违约金的上限：</w:t>
      </w:r>
      <w:r>
        <w:rPr>
          <w:rFonts w:hint="eastAsia" w:ascii="宋体" w:hAnsi="宋体" w:cs="宋体"/>
          <w:szCs w:val="21"/>
          <w:highlight w:val="none"/>
          <w:u w:val="single"/>
        </w:rPr>
        <w:t>逾期竣工违约金累计金额最高不超过签约合同价的20% 。</w:t>
      </w:r>
    </w:p>
    <w:bookmarkEnd w:id="460"/>
    <w:bookmarkEnd w:id="461"/>
    <w:bookmarkEnd w:id="462"/>
    <w:bookmarkEnd w:id="463"/>
    <w:bookmarkEnd w:id="464"/>
    <w:bookmarkEnd w:id="465"/>
    <w:bookmarkEnd w:id="466"/>
    <w:bookmarkEnd w:id="488"/>
    <w:bookmarkEnd w:id="489"/>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11.6 工期提前</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提前竣工的奖励：</w:t>
      </w:r>
      <w:r>
        <w:rPr>
          <w:rFonts w:hint="eastAsia" w:ascii="宋体" w:hAnsi="宋体" w:cs="宋体"/>
          <w:szCs w:val="21"/>
          <w:highlight w:val="none"/>
          <w:u w:val="single"/>
        </w:rPr>
        <w:t xml:space="preserve">      /    </w:t>
      </w:r>
      <w:r>
        <w:rPr>
          <w:rFonts w:hint="eastAsia" w:ascii="宋体" w:hAnsi="宋体" w:cs="宋体"/>
          <w:szCs w:val="21"/>
          <w:highlight w:val="none"/>
        </w:rPr>
        <w:t>。</w:t>
      </w:r>
      <w:bookmarkEnd w:id="443"/>
      <w:bookmarkEnd w:id="444"/>
      <w:bookmarkEnd w:id="445"/>
      <w:bookmarkEnd w:id="446"/>
      <w:bookmarkEnd w:id="447"/>
      <w:bookmarkEnd w:id="448"/>
      <w:bookmarkEnd w:id="449"/>
      <w:bookmarkEnd w:id="450"/>
      <w:bookmarkEnd w:id="451"/>
      <w:bookmarkEnd w:id="452"/>
      <w:bookmarkStart w:id="490" w:name="_Toc24311"/>
      <w:bookmarkStart w:id="491" w:name="_Toc297216192"/>
      <w:bookmarkStart w:id="492" w:name="_Toc297123533"/>
      <w:bookmarkStart w:id="493" w:name="_Toc312678021"/>
      <w:bookmarkStart w:id="494" w:name="_Toc312677495"/>
      <w:bookmarkStart w:id="495" w:name="_Toc304295559"/>
      <w:bookmarkStart w:id="496" w:name="_Toc300934982"/>
      <w:bookmarkStart w:id="497" w:name="_Toc303539139"/>
      <w:bookmarkStart w:id="498" w:name="_Toc296503173"/>
      <w:bookmarkStart w:id="499" w:name="_Toc296891213"/>
      <w:bookmarkStart w:id="500" w:name="_Toc297120473"/>
      <w:bookmarkStart w:id="501" w:name="_Toc292559883"/>
      <w:bookmarkStart w:id="502" w:name="_Toc292559378"/>
      <w:bookmarkStart w:id="503" w:name="_Toc297048359"/>
      <w:bookmarkStart w:id="504" w:name="_Toc296891001"/>
      <w:bookmarkStart w:id="505" w:name="_Toc296347172"/>
      <w:bookmarkStart w:id="506" w:name="_Toc267251428"/>
      <w:bookmarkStart w:id="507" w:name="_Toc267251427"/>
      <w:bookmarkStart w:id="508" w:name="_Toc296346674"/>
      <w:bookmarkStart w:id="509" w:name="_Toc296944512"/>
    </w:p>
    <w:p>
      <w:pPr>
        <w:keepNext w:val="0"/>
        <w:keepLines w:val="0"/>
        <w:pageBreakBefore w:val="0"/>
        <w:shd w:val="clear" w:fill="auto"/>
        <w:kinsoku/>
        <w:wordWrap/>
        <w:overflowPunct/>
        <w:topLinePunct w:val="0"/>
        <w:bidi w:val="0"/>
        <w:snapToGrid/>
        <w:spacing w:line="420" w:lineRule="exact"/>
        <w:ind w:left="0" w:leftChars="0"/>
        <w:textAlignment w:val="auto"/>
        <w:outlineLvl w:val="9"/>
        <w:rPr>
          <w:rFonts w:ascii="宋体" w:hAnsi="宋体" w:cs="宋体"/>
          <w:szCs w:val="21"/>
          <w:highlight w:val="none"/>
        </w:rPr>
      </w:pPr>
      <w:r>
        <w:rPr>
          <w:rFonts w:hint="eastAsia" w:ascii="宋体" w:hAnsi="宋体" w:cs="宋体"/>
          <w:szCs w:val="21"/>
          <w:highlight w:val="none"/>
        </w:rPr>
        <w:t>13.工程质量</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bookmarkStart w:id="510" w:name="_Toc512676394"/>
      <w:bookmarkStart w:id="511" w:name="_Toc6583"/>
      <w:r>
        <w:rPr>
          <w:rFonts w:hint="eastAsia" w:ascii="宋体" w:hAnsi="宋体" w:cs="宋体"/>
          <w:szCs w:val="21"/>
          <w:highlight w:val="none"/>
        </w:rPr>
        <w:t>13.1.1工程质量要求</w:t>
      </w:r>
      <w:bookmarkEnd w:id="510"/>
      <w:bookmarkEnd w:id="511"/>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特殊质量标准和要求：</w:t>
      </w:r>
      <w:r>
        <w:rPr>
          <w:rFonts w:hint="eastAsia" w:ascii="宋体" w:hAnsi="宋体" w:cs="宋体"/>
          <w:szCs w:val="21"/>
          <w:highlight w:val="none"/>
          <w:u w:val="single"/>
        </w:rPr>
        <w:t>工程质量验收按合同约定验收标准执行。因承包人原因造成工程质量达不到合同约定验收标准的，监理人有权要求承包人返工直至符合合同要求为止，由此造成的费用增加和（或）工期延误由承包人承担。因发包人原因造成工程质量达不到合同约定验收标准的，发包人应承担由于承包人返工造成的费用增加和（或）工期延误，并支付承包人合理利润</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关于工程奖项的约定：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工程材料附表填写的产品品牌，施工中由发包方、监理核对认可后方可使用，如产品未达标，中标人应无条件更换并承担由此造成的一切损失及赔偿费用。</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bookmarkStart w:id="512" w:name="_Toc20813"/>
      <w:bookmarkStart w:id="513" w:name="_Toc512676395"/>
      <w:r>
        <w:rPr>
          <w:rFonts w:hint="eastAsia" w:ascii="宋体" w:hAnsi="宋体" w:cs="宋体"/>
          <w:szCs w:val="21"/>
          <w:highlight w:val="none"/>
        </w:rPr>
        <w:t>13.3 承包人的质量检查</w:t>
      </w:r>
    </w:p>
    <w:bookmarkEnd w:id="512"/>
    <w:bookmarkEnd w:id="513"/>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承包人提前通知监理人隐蔽工程检查的期限的约定：</w:t>
      </w:r>
      <w:r>
        <w:rPr>
          <w:rFonts w:hint="eastAsia" w:ascii="宋体" w:hAnsi="宋体" w:cs="宋体"/>
          <w:szCs w:val="21"/>
          <w:highlight w:val="none"/>
          <w:u w:val="single"/>
        </w:rPr>
        <w:t xml:space="preserve"> 隐蔽工程施工必须严格执行技术质量规定，完工后承包人要及时进行资料整理，报监理工程师验收，经检查合格后方可转入隐蔽施工，否则对承包人给予2000元罚款，同时承包人要采取返工措施，对隐蔽部位进行补验，合格后方可进行隐蔽施工，其造成的经济损失，承包人自负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监理人不能按时进行检查时，应提前</w:t>
      </w:r>
      <w:r>
        <w:rPr>
          <w:rFonts w:hint="eastAsia" w:ascii="宋体" w:hAnsi="宋体" w:cs="宋体"/>
          <w:szCs w:val="21"/>
          <w:highlight w:val="none"/>
          <w:u w:val="single"/>
        </w:rPr>
        <w:t xml:space="preserve"> 12 </w:t>
      </w:r>
      <w:r>
        <w:rPr>
          <w:rFonts w:hint="eastAsia" w:ascii="宋体" w:hAnsi="宋体" w:cs="宋体"/>
          <w:szCs w:val="21"/>
          <w:highlight w:val="none"/>
        </w:rPr>
        <w:t>小时提交书面延期要求。</w:t>
      </w:r>
    </w:p>
    <w:p>
      <w:pPr>
        <w:keepNext w:val="0"/>
        <w:keepLines w:val="0"/>
        <w:pageBreakBefore w:val="0"/>
        <w:shd w:val="clear" w:fill="auto"/>
        <w:kinsoku/>
        <w:wordWrap/>
        <w:overflowPunct/>
        <w:topLinePunct w:val="0"/>
        <w:bidi w:val="0"/>
        <w:snapToGrid/>
        <w:spacing w:line="420" w:lineRule="exact"/>
        <w:ind w:left="0" w:leftChars="0"/>
        <w:jc w:val="left"/>
        <w:textAlignment w:val="auto"/>
        <w:outlineLvl w:val="9"/>
        <w:rPr>
          <w:rFonts w:ascii="宋体" w:hAnsi="宋体" w:cs="宋体"/>
          <w:kern w:val="0"/>
          <w:szCs w:val="21"/>
          <w:highlight w:val="none"/>
        </w:rPr>
      </w:pPr>
      <w:r>
        <w:rPr>
          <w:rFonts w:hint="eastAsia" w:ascii="宋体" w:hAnsi="宋体" w:cs="宋体"/>
          <w:szCs w:val="21"/>
          <w:highlight w:val="none"/>
        </w:rPr>
        <w:t>关于延期最长不得超过：</w:t>
      </w:r>
      <w:r>
        <w:rPr>
          <w:rFonts w:hint="eastAsia" w:ascii="宋体" w:hAnsi="宋体" w:cs="宋体"/>
          <w:szCs w:val="21"/>
          <w:highlight w:val="none"/>
          <w:u w:val="single"/>
        </w:rPr>
        <w:t xml:space="preserve"> 24 </w:t>
      </w:r>
      <w:r>
        <w:rPr>
          <w:rFonts w:hint="eastAsia" w:ascii="宋体" w:hAnsi="宋体" w:cs="宋体"/>
          <w:szCs w:val="21"/>
          <w:highlight w:val="none"/>
        </w:rPr>
        <w:t>小时。</w:t>
      </w:r>
    </w:p>
    <w:p>
      <w:pPr>
        <w:keepNext w:val="0"/>
        <w:keepLines w:val="0"/>
        <w:pageBreakBefore w:val="0"/>
        <w:shd w:val="clear" w:fill="auto"/>
        <w:kinsoku/>
        <w:wordWrap/>
        <w:overflowPunct/>
        <w:topLinePunct w:val="0"/>
        <w:bidi w:val="0"/>
        <w:snapToGrid/>
        <w:spacing w:line="420" w:lineRule="exact"/>
        <w:ind w:left="0" w:leftChars="0"/>
        <w:jc w:val="left"/>
        <w:textAlignment w:val="auto"/>
        <w:outlineLvl w:val="9"/>
        <w:rPr>
          <w:rFonts w:ascii="宋体" w:hAnsi="宋体" w:cs="宋体"/>
          <w:kern w:val="0"/>
          <w:szCs w:val="21"/>
          <w:highlight w:val="none"/>
        </w:rPr>
      </w:pPr>
      <w:r>
        <w:rPr>
          <w:rFonts w:hint="eastAsia" w:ascii="宋体" w:hAnsi="宋体" w:cs="宋体"/>
          <w:kern w:val="0"/>
          <w:szCs w:val="21"/>
          <w:highlight w:val="none"/>
        </w:rPr>
        <w:t>14.试验与检验</w:t>
      </w:r>
      <w:bookmarkEnd w:id="490"/>
    </w:p>
    <w:bookmarkEnd w:id="491"/>
    <w:bookmarkEnd w:id="492"/>
    <w:bookmarkEnd w:id="493"/>
    <w:bookmarkEnd w:id="494"/>
    <w:bookmarkEnd w:id="495"/>
    <w:bookmarkEnd w:id="496"/>
    <w:bookmarkEnd w:id="497"/>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bookmarkStart w:id="514" w:name="_Toc297123535"/>
      <w:bookmarkStart w:id="515" w:name="_Toc300934984"/>
      <w:bookmarkStart w:id="516" w:name="_Toc303539141"/>
      <w:bookmarkStart w:id="517" w:name="_Toc297216194"/>
      <w:bookmarkStart w:id="518" w:name="_Toc304295561"/>
      <w:bookmarkStart w:id="519" w:name="_Toc312678023"/>
      <w:bookmarkStart w:id="520" w:name="_Toc312677497"/>
      <w:bookmarkStart w:id="521" w:name="_Toc318581174"/>
      <w:r>
        <w:rPr>
          <w:rFonts w:hint="eastAsia" w:ascii="宋体" w:hAnsi="宋体" w:cs="宋体"/>
          <w:szCs w:val="21"/>
          <w:highlight w:val="none"/>
        </w:rPr>
        <w:t>施工现场需要配置的试验场所：</w:t>
      </w:r>
      <w:bookmarkEnd w:id="514"/>
      <w:bookmarkEnd w:id="515"/>
      <w:bookmarkEnd w:id="516"/>
      <w:bookmarkEnd w:id="517"/>
      <w:bookmarkEnd w:id="518"/>
      <w:bookmarkEnd w:id="519"/>
      <w:bookmarkEnd w:id="520"/>
      <w:bookmarkStart w:id="522" w:name="_Toc297123536"/>
      <w:bookmarkStart w:id="523" w:name="_Toc300934985"/>
      <w:bookmarkStart w:id="524" w:name="_Toc304295562"/>
      <w:bookmarkStart w:id="525" w:name="_Toc312677498"/>
      <w:bookmarkStart w:id="526" w:name="_Toc297216195"/>
      <w:bookmarkStart w:id="527" w:name="_Toc303539142"/>
      <w:bookmarkStart w:id="528" w:name="_Toc312678024"/>
      <w:r>
        <w:rPr>
          <w:rFonts w:hint="eastAsia" w:ascii="宋体" w:hAnsi="宋体" w:cs="宋体"/>
          <w:szCs w:val="21"/>
          <w:highlight w:val="none"/>
          <w:u w:val="single"/>
        </w:rPr>
        <w:t xml:space="preserve">  按相关规定执行  </w:t>
      </w:r>
      <w:r>
        <w:rPr>
          <w:rFonts w:hint="eastAsia" w:ascii="宋体" w:hAnsi="宋体" w:cs="宋体"/>
          <w:szCs w:val="21"/>
          <w:highlight w:val="none"/>
        </w:rPr>
        <w:t xml:space="preserve">。 </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施工现场需要配备的试验设备：</w:t>
      </w:r>
      <w:r>
        <w:rPr>
          <w:rFonts w:hint="eastAsia" w:ascii="宋体" w:hAnsi="宋体" w:cs="宋体"/>
          <w:szCs w:val="21"/>
          <w:highlight w:val="none"/>
          <w:u w:val="single"/>
        </w:rPr>
        <w:t xml:space="preserve"> 按相关规定执行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施工现场需要具备的其他试验条件：</w:t>
      </w:r>
      <w:r>
        <w:rPr>
          <w:rFonts w:hint="eastAsia" w:ascii="宋体" w:hAnsi="宋体" w:cs="宋体"/>
          <w:szCs w:val="21"/>
          <w:highlight w:val="none"/>
          <w:u w:val="single"/>
        </w:rPr>
        <w:t xml:space="preserve"> 按相关规定执行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rPr>
      </w:pPr>
      <w:bookmarkStart w:id="529" w:name="_Toc512676399"/>
      <w:bookmarkStart w:id="530" w:name="_Toc23875"/>
      <w:r>
        <w:rPr>
          <w:rFonts w:hint="eastAsia" w:ascii="宋体" w:hAnsi="宋体" w:cs="宋体"/>
          <w:kern w:val="0"/>
          <w:szCs w:val="21"/>
          <w:highlight w:val="none"/>
        </w:rPr>
        <w:t>14.3现场工艺试验</w:t>
      </w:r>
      <w:bookmarkEnd w:id="529"/>
      <w:bookmarkEnd w:id="530"/>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现场工艺试验的有关约定：</w:t>
      </w:r>
      <w:r>
        <w:rPr>
          <w:rFonts w:hint="eastAsia" w:ascii="宋体" w:hAnsi="宋体" w:cs="宋体"/>
          <w:szCs w:val="21"/>
          <w:highlight w:val="none"/>
          <w:u w:val="single"/>
        </w:rPr>
        <w:t xml:space="preserve">     /   </w:t>
      </w:r>
      <w:r>
        <w:rPr>
          <w:rFonts w:hint="eastAsia" w:ascii="宋体" w:hAnsi="宋体" w:cs="宋体"/>
          <w:szCs w:val="21"/>
          <w:highlight w:val="none"/>
        </w:rPr>
        <w:t>。</w:t>
      </w:r>
    </w:p>
    <w:bookmarkEnd w:id="498"/>
    <w:bookmarkEnd w:id="499"/>
    <w:bookmarkEnd w:id="500"/>
    <w:bookmarkEnd w:id="501"/>
    <w:bookmarkEnd w:id="502"/>
    <w:bookmarkEnd w:id="503"/>
    <w:bookmarkEnd w:id="504"/>
    <w:bookmarkEnd w:id="505"/>
    <w:bookmarkEnd w:id="506"/>
    <w:bookmarkEnd w:id="507"/>
    <w:bookmarkEnd w:id="508"/>
    <w:bookmarkEnd w:id="509"/>
    <w:bookmarkEnd w:id="521"/>
    <w:bookmarkEnd w:id="522"/>
    <w:bookmarkEnd w:id="523"/>
    <w:bookmarkEnd w:id="524"/>
    <w:bookmarkEnd w:id="525"/>
    <w:bookmarkEnd w:id="526"/>
    <w:bookmarkEnd w:id="527"/>
    <w:bookmarkEnd w:id="528"/>
    <w:p>
      <w:pPr>
        <w:keepNext w:val="0"/>
        <w:keepLines w:val="0"/>
        <w:pageBreakBefore w:val="0"/>
        <w:shd w:val="clear" w:fill="auto"/>
        <w:kinsoku/>
        <w:wordWrap/>
        <w:overflowPunct/>
        <w:topLinePunct w:val="0"/>
        <w:bidi w:val="0"/>
        <w:snapToGrid/>
        <w:spacing w:line="420" w:lineRule="exact"/>
        <w:ind w:left="0" w:leftChars="0"/>
        <w:textAlignment w:val="auto"/>
        <w:outlineLvl w:val="9"/>
        <w:rPr>
          <w:rFonts w:ascii="宋体" w:hAnsi="宋体" w:cs="宋体"/>
          <w:szCs w:val="21"/>
          <w:highlight w:val="none"/>
        </w:rPr>
      </w:pPr>
      <w:bookmarkStart w:id="531" w:name="_Toc296891021"/>
      <w:bookmarkStart w:id="532" w:name="_Toc12423"/>
      <w:bookmarkStart w:id="533" w:name="_Toc292559398"/>
      <w:bookmarkStart w:id="534" w:name="_Toc304295566"/>
      <w:bookmarkStart w:id="535" w:name="_Toc296891233"/>
      <w:bookmarkStart w:id="536" w:name="_Toc292559903"/>
      <w:bookmarkStart w:id="537" w:name="_Toc303539146"/>
      <w:bookmarkStart w:id="538" w:name="_Toc296346694"/>
      <w:bookmarkStart w:id="539" w:name="_Toc296944532"/>
      <w:bookmarkStart w:id="540" w:name="_Toc300934989"/>
      <w:bookmarkStart w:id="541" w:name="_Toc297120493"/>
      <w:bookmarkStart w:id="542" w:name="_Toc297048379"/>
      <w:bookmarkStart w:id="543" w:name="_Toc297123540"/>
      <w:bookmarkStart w:id="544" w:name="_Toc296347192"/>
      <w:bookmarkStart w:id="545" w:name="_Toc297216199"/>
      <w:bookmarkStart w:id="546" w:name="_Toc296503193"/>
      <w:bookmarkStart w:id="547" w:name="_Toc312677499"/>
      <w:bookmarkStart w:id="548" w:name="_Toc312678025"/>
      <w:bookmarkStart w:id="549" w:name="_Toc267251440"/>
      <w:bookmarkStart w:id="550" w:name="_Toc267251437"/>
      <w:bookmarkStart w:id="551" w:name="_Toc267251435"/>
      <w:bookmarkStart w:id="552" w:name="_Toc267251439"/>
      <w:bookmarkStart w:id="553" w:name="_Toc267251433"/>
      <w:bookmarkStart w:id="554" w:name="_Toc267251441"/>
      <w:bookmarkStart w:id="555" w:name="_Toc267251442"/>
      <w:r>
        <w:rPr>
          <w:rFonts w:hint="eastAsia" w:ascii="宋体" w:hAnsi="宋体" w:cs="宋体"/>
          <w:szCs w:val="21"/>
          <w:highlight w:val="none"/>
        </w:rPr>
        <w:t>15.变更</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bookmarkEnd w:id="547"/>
    <w:bookmarkEnd w:id="548"/>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bookmarkStart w:id="556" w:name="_Toc296891234"/>
      <w:bookmarkStart w:id="557" w:name="_Toc304295567"/>
      <w:bookmarkStart w:id="558" w:name="_Toc292559904"/>
      <w:bookmarkStart w:id="559" w:name="_Toc296944533"/>
      <w:bookmarkStart w:id="560" w:name="_Toc312678026"/>
      <w:bookmarkStart w:id="561" w:name="_Toc296891022"/>
      <w:bookmarkStart w:id="562" w:name="_Toc296503194"/>
      <w:bookmarkStart w:id="563" w:name="_Toc297048380"/>
      <w:bookmarkStart w:id="564" w:name="_Toc296347193"/>
      <w:bookmarkStart w:id="565" w:name="_Toc312677500"/>
      <w:bookmarkStart w:id="566" w:name="_Toc297123541"/>
      <w:bookmarkStart w:id="567" w:name="_Toc292559399"/>
      <w:bookmarkStart w:id="568" w:name="_Toc296346695"/>
      <w:bookmarkStart w:id="569" w:name="_Toc297216200"/>
      <w:bookmarkStart w:id="570" w:name="_Toc303539147"/>
      <w:bookmarkStart w:id="571" w:name="_Toc300934990"/>
      <w:bookmarkStart w:id="572" w:name="_Toc297120494"/>
      <w:r>
        <w:rPr>
          <w:rFonts w:hint="eastAsia" w:ascii="宋体" w:hAnsi="宋体" w:cs="宋体"/>
          <w:szCs w:val="21"/>
          <w:highlight w:val="none"/>
        </w:rPr>
        <w:t>15.1变更的范围</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rPr>
        <w:t>关于变更的范围的约定：</w:t>
      </w:r>
      <w:bookmarkStart w:id="573" w:name="_Toc22385"/>
      <w:bookmarkStart w:id="574" w:name="_Toc512676400"/>
      <w:r>
        <w:rPr>
          <w:rFonts w:hint="eastAsia" w:ascii="宋体" w:hAnsi="宋体" w:cs="宋体"/>
          <w:szCs w:val="21"/>
          <w:highlight w:val="none"/>
          <w:u w:val="single"/>
        </w:rPr>
        <w:t>1、施工中发包人需对原工程设计变更，应提前7天以书面形式向承包人发出变更通知。变更超过原设计标准或批准的建设规模时，发包人应报有关部门重新审查批准，并由原设计单位提供变更的相应图纸和说明。承包人按照收到的变更通知及有关要求，进行下列需要的变更：</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（一）法律、行政法规和国家有关政策性调整。</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（二）设计单位对设计图纸做出设计变更或补充图纸。</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（三）发包人代表签证的工程量增减。</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因非承包人原因引起的工程量发生增减，经监理、发包人认可后，工程量据实调整。</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2、施工中承包人不得对原工程设计进行变更。因承包人擅自变更设计发生的费用和由此导致发包人的直接损失，由承包人承担，延误的工期不予顺延。</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3、承包人在施工中提出的合理化建议涉及到对设计图纸或施工组织设计的更改及对材料、设备的换用，须经同意。未经同意擅自更改或换用时，承包人承担由此发生的费用，并赔偿发包人的有关损失，延误的工期不予顺延。</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u w:val="single"/>
        </w:rPr>
        <w:t>4、合同履行中发包人要求变更工程质量标准及发生其他实质性变更，由双方协商解决 。</w:t>
      </w:r>
    </w:p>
    <w:bookmarkEnd w:id="573"/>
    <w:bookmarkEnd w:id="574"/>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bookmarkStart w:id="575" w:name="_Hlk121598316"/>
      <w:r>
        <w:rPr>
          <w:rFonts w:hint="eastAsia" w:ascii="宋体" w:hAnsi="宋体" w:cs="宋体"/>
          <w:szCs w:val="21"/>
          <w:highlight w:val="none"/>
        </w:rPr>
        <w:t>15.4变更估价原则</w:t>
      </w:r>
      <w:bookmarkEnd w:id="575"/>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rPr>
        <w:t>关于变更估价的约定:</w:t>
      </w:r>
      <w:r>
        <w:rPr>
          <w:rFonts w:hint="eastAsia" w:ascii="宋体" w:hAnsi="宋体" w:cs="宋体"/>
          <w:szCs w:val="21"/>
          <w:highlight w:val="none"/>
          <w:u w:val="single"/>
        </w:rPr>
        <w:t>（1）已标价工程量清单或预算书有相同项目的，按照相同项目单价认定；</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（2）已标价工程量清单或预算书中无相同项目，但有类似项目的，参照类似项目的单价认定；</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3）变更导致实际完成的变更工程量与已标价工程量清单或预算书中列明的该项目工程量的变化幅度超过15%的，或已标价工程量清单或预算书中无相同项目及类似项目单价的，由承包人按照计量规则、工程造价管理机构发布的信息价格，由合同当事人商定确定变更工作的单价先行结算，</w:t>
      </w:r>
      <w:bookmarkStart w:id="576" w:name="_Hlk121598458"/>
      <w:r>
        <w:rPr>
          <w:rFonts w:hint="eastAsia" w:ascii="宋体" w:hAnsi="宋体" w:cs="宋体"/>
          <w:szCs w:val="21"/>
          <w:highlight w:val="none"/>
          <w:u w:val="single"/>
        </w:rPr>
        <w:t>最后以审计后的价格为准。</w:t>
      </w:r>
      <w:bookmarkEnd w:id="576"/>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对于起重机等涉及人身安全的专业，要根据要求合理报价，保证工程质量，满足相关标准规范，否则承担全部责任。</w:t>
      </w:r>
    </w:p>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bookmarkStart w:id="577" w:name="_Toc296944536"/>
      <w:bookmarkStart w:id="578" w:name="_Toc292559402"/>
      <w:bookmarkStart w:id="579" w:name="_Toc297216203"/>
      <w:bookmarkStart w:id="580" w:name="_Toc303539150"/>
      <w:bookmarkStart w:id="581" w:name="_Toc296503197"/>
      <w:bookmarkStart w:id="582" w:name="_Toc300934993"/>
      <w:bookmarkStart w:id="583" w:name="_Toc296346698"/>
      <w:bookmarkStart w:id="584" w:name="_Toc296891237"/>
      <w:bookmarkStart w:id="585" w:name="_Toc296891025"/>
      <w:bookmarkStart w:id="586" w:name="_Toc297048383"/>
      <w:bookmarkStart w:id="587" w:name="_Toc296347196"/>
      <w:bookmarkStart w:id="588" w:name="_Toc297120497"/>
      <w:bookmarkStart w:id="589" w:name="_Toc292559907"/>
      <w:bookmarkStart w:id="590" w:name="_Toc297123544"/>
      <w:bookmarkStart w:id="591" w:name="_Toc312678029"/>
      <w:bookmarkStart w:id="592" w:name="_Toc304295570"/>
      <w:bookmarkStart w:id="593" w:name="_Toc312677503"/>
      <w:r>
        <w:rPr>
          <w:rFonts w:hint="eastAsia" w:ascii="宋体" w:hAnsi="宋体" w:cs="宋体"/>
          <w:szCs w:val="21"/>
          <w:highlight w:val="none"/>
        </w:rPr>
        <w:t>15.5承</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Start w:id="594" w:name="_Toc296503203"/>
      <w:bookmarkStart w:id="595" w:name="_Toc292559913"/>
      <w:bookmarkStart w:id="596" w:name="_Toc297123545"/>
      <w:bookmarkStart w:id="597" w:name="_Toc297048389"/>
      <w:bookmarkStart w:id="598" w:name="_Toc296891031"/>
      <w:bookmarkStart w:id="599" w:name="_Toc296346704"/>
      <w:bookmarkStart w:id="600" w:name="_Toc296891243"/>
      <w:bookmarkStart w:id="601" w:name="_Toc297216204"/>
      <w:bookmarkStart w:id="602" w:name="_Toc292559408"/>
      <w:bookmarkStart w:id="603" w:name="_Toc296347202"/>
      <w:bookmarkStart w:id="604" w:name="_Toc300934994"/>
      <w:bookmarkStart w:id="605" w:name="_Toc303539151"/>
      <w:bookmarkStart w:id="606" w:name="_Toc297120503"/>
      <w:bookmarkStart w:id="607" w:name="_Toc296944542"/>
      <w:r>
        <w:rPr>
          <w:rFonts w:hint="eastAsia" w:ascii="宋体" w:hAnsi="宋体" w:cs="宋体"/>
          <w:szCs w:val="21"/>
          <w:highlight w:val="none"/>
        </w:rPr>
        <w:t>包人的合理化建议</w:t>
      </w:r>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监理人审查承包人合理化建议的期限：</w:t>
      </w:r>
      <w:r>
        <w:rPr>
          <w:rFonts w:hint="eastAsia" w:ascii="宋体" w:hAnsi="宋体" w:cs="宋体"/>
          <w:szCs w:val="21"/>
          <w:highlight w:val="none"/>
          <w:u w:val="single"/>
        </w:rPr>
        <w:t xml:space="preserve">  七天内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发包人审批承包人合理化建议的期限：</w:t>
      </w:r>
      <w:r>
        <w:rPr>
          <w:rFonts w:hint="eastAsia" w:ascii="宋体" w:hAnsi="宋体" w:cs="宋体"/>
          <w:szCs w:val="21"/>
          <w:highlight w:val="none"/>
          <w:u w:val="single"/>
        </w:rPr>
        <w:t xml:space="preserve">  七天内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396" w:firstLineChars="189"/>
        <w:jc w:val="left"/>
        <w:textAlignment w:val="auto"/>
        <w:outlineLvl w:val="9"/>
        <w:rPr>
          <w:rFonts w:ascii="宋体" w:hAnsi="宋体" w:cs="宋体"/>
          <w:szCs w:val="21"/>
          <w:highlight w:val="none"/>
          <w:u w:val="single"/>
        </w:rPr>
      </w:pPr>
      <w:r>
        <w:rPr>
          <w:rFonts w:hint="eastAsia" w:ascii="宋体" w:hAnsi="宋体" w:cs="宋体"/>
          <w:szCs w:val="21"/>
          <w:highlight w:val="none"/>
        </w:rPr>
        <w:t>承</w:t>
      </w:r>
      <w:bookmarkStart w:id="608" w:name="_Toc296346705"/>
      <w:bookmarkStart w:id="609" w:name="_Toc292559914"/>
      <w:bookmarkStart w:id="610" w:name="_Toc297123546"/>
      <w:bookmarkStart w:id="611" w:name="_Toc296503204"/>
      <w:bookmarkStart w:id="612" w:name="_Toc292559409"/>
      <w:bookmarkStart w:id="613" w:name="_Toc296944543"/>
      <w:bookmarkStart w:id="614" w:name="_Toc297048390"/>
      <w:bookmarkStart w:id="615" w:name="_Toc296891244"/>
      <w:bookmarkStart w:id="616" w:name="_Toc297120504"/>
      <w:bookmarkStart w:id="617" w:name="_Toc303539152"/>
      <w:bookmarkStart w:id="618" w:name="_Toc297216205"/>
      <w:bookmarkStart w:id="619" w:name="_Toc296891032"/>
      <w:bookmarkStart w:id="620" w:name="_Toc300934995"/>
      <w:bookmarkStart w:id="621" w:name="_Toc304295571"/>
      <w:bookmarkStart w:id="622" w:name="_Toc318581175"/>
      <w:bookmarkStart w:id="623" w:name="_Toc312677504"/>
      <w:bookmarkStart w:id="624" w:name="_Toc296347203"/>
      <w:bookmarkStart w:id="625" w:name="_Toc312678030"/>
      <w:r>
        <w:rPr>
          <w:rFonts w:hint="eastAsia" w:ascii="宋体" w:hAnsi="宋体" w:cs="宋体"/>
          <w:szCs w:val="21"/>
          <w:highlight w:val="none"/>
        </w:rPr>
        <w:t>包人提出的合理化建议降低了合同价格或者提高了工程经济效益的奖励的方法和金额为：</w:t>
      </w:r>
      <w:r>
        <w:rPr>
          <w:rFonts w:hint="eastAsia" w:ascii="宋体" w:hAnsi="宋体" w:cs="宋体"/>
          <w:szCs w:val="21"/>
          <w:highlight w:val="none"/>
          <w:u w:val="single"/>
        </w:rPr>
        <w:t xml:space="preserve">  /  </w:t>
      </w:r>
      <w:r>
        <w:rPr>
          <w:rFonts w:hint="eastAsia" w:ascii="宋体" w:hAnsi="宋体" w:cs="宋体"/>
          <w:szCs w:val="21"/>
          <w:highlight w:val="none"/>
        </w:rPr>
        <w:t>。</w:t>
      </w:r>
    </w:p>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bookmarkStart w:id="626" w:name="_Toc512676401"/>
      <w:bookmarkStart w:id="627" w:name="_Toc7940"/>
      <w:bookmarkStart w:id="628" w:name="_Toc300934997"/>
      <w:bookmarkStart w:id="629" w:name="_Toc296944538"/>
      <w:bookmarkStart w:id="630" w:name="_Toc296346700"/>
      <w:bookmarkStart w:id="631" w:name="_Toc303539154"/>
      <w:bookmarkStart w:id="632" w:name="_Toc292559404"/>
      <w:bookmarkStart w:id="633" w:name="_Toc296347198"/>
      <w:bookmarkStart w:id="634" w:name="_Toc297123548"/>
      <w:bookmarkStart w:id="635" w:name="_Toc312678033"/>
      <w:bookmarkStart w:id="636" w:name="_Toc292559909"/>
      <w:bookmarkStart w:id="637" w:name="_Toc312677507"/>
      <w:bookmarkStart w:id="638" w:name="_Toc297216207"/>
      <w:bookmarkStart w:id="639" w:name="_Toc296891239"/>
      <w:bookmarkStart w:id="640" w:name="_Toc297120499"/>
      <w:bookmarkStart w:id="641" w:name="_Toc304295574"/>
      <w:bookmarkStart w:id="642" w:name="_Toc297048385"/>
      <w:bookmarkStart w:id="643" w:name="_Toc296891027"/>
      <w:bookmarkStart w:id="644" w:name="_Toc296503199"/>
      <w:r>
        <w:rPr>
          <w:rFonts w:hint="eastAsia" w:ascii="宋体" w:hAnsi="宋体" w:cs="宋体"/>
          <w:szCs w:val="21"/>
          <w:highlight w:val="none"/>
        </w:rPr>
        <w:t>15.6暂列金额</w:t>
      </w:r>
    </w:p>
    <w:p>
      <w:pPr>
        <w:keepNext w:val="0"/>
        <w:keepLines w:val="0"/>
        <w:pageBreakBefore w:val="0"/>
        <w:shd w:val="clear" w:fill="auto"/>
        <w:kinsoku/>
        <w:wordWrap/>
        <w:overflowPunct/>
        <w:topLinePunct w:val="0"/>
        <w:autoSpaceDE w:val="0"/>
        <w:autoSpaceDN w:val="0"/>
        <w:bidi w:val="0"/>
        <w:adjustRightInd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kern w:val="0"/>
          <w:szCs w:val="21"/>
          <w:highlight w:val="none"/>
        </w:rPr>
        <w:t>合同当事人关于暂列金额使用的约定：</w:t>
      </w:r>
      <w:r>
        <w:rPr>
          <w:rFonts w:hint="eastAsia" w:ascii="宋体" w:hAnsi="宋体" w:cs="宋体"/>
          <w:szCs w:val="21"/>
          <w:highlight w:val="none"/>
          <w:u w:val="single"/>
        </w:rPr>
        <w:t>暂列金额只能按照发包人和监理人的指示使用，并对合同价格进行相应调整。</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15.8 暂估价</w:t>
      </w:r>
      <w:bookmarkEnd w:id="626"/>
      <w:bookmarkEnd w:id="627"/>
    </w:p>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15.8.1</w:t>
      </w:r>
      <w:r>
        <w:rPr>
          <w:rFonts w:hint="eastAsia" w:ascii="宋体" w:hAnsi="宋体" w:cs="宋体"/>
          <w:szCs w:val="21"/>
          <w:highlight w:val="none"/>
        </w:rPr>
        <w:t>依法必须招标的暂估价项目</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对于依法必须招标的暂估价项目的确认和批准采取第</w:t>
      </w:r>
      <w:r>
        <w:rPr>
          <w:rFonts w:hint="eastAsia" w:ascii="宋体" w:hAnsi="宋体" w:cs="宋体"/>
          <w:szCs w:val="21"/>
          <w:highlight w:val="none"/>
          <w:u w:val="single"/>
        </w:rPr>
        <w:t xml:space="preserve"> </w:t>
      </w:r>
      <w:r>
        <w:rPr>
          <w:rFonts w:ascii="宋体" w:hAnsi="宋体" w:cs="宋体"/>
          <w:szCs w:val="21"/>
          <w:highlight w:val="none"/>
          <w:u w:val="single"/>
        </w:rPr>
        <w:t>1</w:t>
      </w:r>
      <w:r>
        <w:rPr>
          <w:rFonts w:hint="eastAsia" w:ascii="宋体" w:hAnsi="宋体" w:cs="宋体"/>
          <w:szCs w:val="21"/>
          <w:highlight w:val="none"/>
          <w:u w:val="single"/>
        </w:rPr>
        <w:t xml:space="preserve"> </w:t>
      </w:r>
      <w:r>
        <w:rPr>
          <w:rFonts w:hint="eastAsia" w:ascii="宋体" w:hAnsi="宋体" w:cs="宋体"/>
          <w:szCs w:val="21"/>
          <w:highlight w:val="none"/>
        </w:rPr>
        <w:t>种方式确定。</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第1种方式：对于依法必须招标的暂估价项目，由承包人招标，对该暂估价项目的确认和批准按照以下约定执行：</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承包人应当根据施工进度计划，提前14天将招标文件通过监理人报送发包人审批，发包人应当在收到承包人报送的相关文件后7天内完成审批或提出修改意见；发包人有权确定最高投标限价并按照法律规定参加评标；</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15.8.2 不属于依法必须招标的暂估价项目</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对于不属于依法必须招标的暂估价项目的确认和批准采取第</w:t>
      </w:r>
      <w:r>
        <w:rPr>
          <w:rFonts w:hint="eastAsia" w:ascii="宋体" w:hAnsi="宋体" w:cs="宋体"/>
          <w:szCs w:val="21"/>
          <w:highlight w:val="none"/>
          <w:u w:val="single"/>
        </w:rPr>
        <w:t xml:space="preserve"> </w:t>
      </w:r>
      <w:r>
        <w:rPr>
          <w:rFonts w:ascii="宋体" w:hAnsi="宋体" w:cs="宋体"/>
          <w:szCs w:val="21"/>
          <w:highlight w:val="none"/>
          <w:u w:val="single"/>
        </w:rPr>
        <w:t>1</w:t>
      </w:r>
      <w:r>
        <w:rPr>
          <w:rFonts w:hint="eastAsia" w:ascii="宋体" w:hAnsi="宋体" w:cs="宋体"/>
          <w:szCs w:val="21"/>
          <w:highlight w:val="none"/>
          <w:u w:val="single"/>
        </w:rPr>
        <w:t xml:space="preserve"> </w:t>
      </w:r>
      <w:r>
        <w:rPr>
          <w:rFonts w:hint="eastAsia" w:ascii="宋体" w:hAnsi="宋体" w:cs="宋体"/>
          <w:szCs w:val="21"/>
          <w:highlight w:val="none"/>
        </w:rPr>
        <w:t>种方式确定。</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第1种方式：对于不属于依法必须招标的暂估价项目，按本项约定确认和批准：</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（2）发包人认为承包人确定的供应商、分包人无法满足工程质量或合同要求的，发包人可以要求承包人重新确定暂估价项目的供应商、分包人;</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（3）承包人应当在签订暂估价合同后7天内，将暂估价合同副本报送发包人留存。</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第2种方式：承包人按照第10.7.1项〔依法必须招标的暂估价项目〕约定的第1种方式确定暂估价项目。</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szCs w:val="21"/>
          <w:highlight w:val="none"/>
        </w:rPr>
        <w:t>第3种方式：</w:t>
      </w:r>
      <w:r>
        <w:rPr>
          <w:rFonts w:hint="eastAsia" w:ascii="宋体" w:hAnsi="宋体" w:cs="宋体"/>
          <w:kern w:val="0"/>
          <w:szCs w:val="21"/>
          <w:highlight w:val="none"/>
        </w:rPr>
        <w:t>承包人直接实施的暂估价项目</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承包人直接实施的暂估价项目的约定：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kern w:val="0"/>
          <w:szCs w:val="21"/>
          <w:highlight w:val="none"/>
        </w:rPr>
        <w:t>暂</w:t>
      </w:r>
      <w:bookmarkStart w:id="645" w:name="_Toc318581176"/>
      <w:bookmarkStart w:id="646" w:name="_Toc312678034"/>
      <w:bookmarkStart w:id="647" w:name="_Toc312677508"/>
      <w:r>
        <w:rPr>
          <w:rFonts w:hint="eastAsia" w:ascii="宋体" w:hAnsi="宋体" w:cs="宋体"/>
          <w:kern w:val="0"/>
          <w:szCs w:val="21"/>
          <w:highlight w:val="none"/>
        </w:rPr>
        <w:t>估价材料和工程设备的明细详见附件：《</w:t>
      </w:r>
      <w:r>
        <w:rPr>
          <w:rFonts w:hint="eastAsia" w:ascii="宋体" w:hAnsi="宋体" w:cs="宋体"/>
          <w:szCs w:val="21"/>
          <w:highlight w:val="none"/>
        </w:rPr>
        <w:t>暂估价一览表》</w:t>
      </w:r>
      <w:r>
        <w:rPr>
          <w:rFonts w:hint="eastAsia" w:ascii="宋体" w:hAnsi="宋体" w:cs="宋体"/>
          <w:kern w:val="0"/>
          <w:szCs w:val="21"/>
          <w:highlight w:val="none"/>
        </w:rPr>
        <w:t>。</w:t>
      </w:r>
    </w:p>
    <w:bookmarkEnd w:id="645"/>
    <w:bookmarkEnd w:id="646"/>
    <w:bookmarkEnd w:id="647"/>
    <w:p>
      <w:pPr>
        <w:keepNext w:val="0"/>
        <w:keepLines w:val="0"/>
        <w:pageBreakBefore w:val="0"/>
        <w:shd w:val="clear" w:fill="auto"/>
        <w:kinsoku/>
        <w:wordWrap/>
        <w:overflowPunct/>
        <w:topLinePunct w:val="0"/>
        <w:autoSpaceDE w:val="0"/>
        <w:autoSpaceDN w:val="0"/>
        <w:bidi w:val="0"/>
        <w:adjustRightInd w:val="0"/>
        <w:snapToGrid/>
        <w:spacing w:line="420" w:lineRule="exact"/>
        <w:ind w:left="0" w:leftChars="0" w:firstLine="420" w:firstLineChars="200"/>
        <w:jc w:val="left"/>
        <w:textAlignment w:val="auto"/>
        <w:outlineLvl w:val="9"/>
        <w:rPr>
          <w:rFonts w:ascii="宋体" w:hAnsi="宋体" w:cs="宋体"/>
          <w:b/>
          <w:szCs w:val="21"/>
          <w:highlight w:val="none"/>
        </w:rPr>
      </w:pPr>
      <w:bookmarkStart w:id="648" w:name="_Toc30727"/>
      <w:r>
        <w:rPr>
          <w:rFonts w:hint="eastAsia" w:ascii="宋体" w:hAnsi="宋体" w:cs="宋体"/>
          <w:szCs w:val="21"/>
          <w:highlight w:val="none"/>
        </w:rPr>
        <w:t>16.价格调整</w:t>
      </w:r>
      <w:bookmarkEnd w:id="648"/>
    </w:p>
    <w:bookmarkEnd w:id="549"/>
    <w:bookmarkEnd w:id="550"/>
    <w:bookmarkEnd w:id="551"/>
    <w:bookmarkEnd w:id="552"/>
    <w:bookmarkEnd w:id="553"/>
    <w:bookmarkEnd w:id="554"/>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bookmarkStart w:id="649" w:name="_Toc292559406"/>
      <w:bookmarkStart w:id="650" w:name="_Toc296503201"/>
      <w:bookmarkStart w:id="651" w:name="_Toc296347200"/>
      <w:bookmarkStart w:id="652" w:name="_Toc297120501"/>
      <w:bookmarkStart w:id="653" w:name="_Toc303539157"/>
      <w:bookmarkStart w:id="654" w:name="_Toc312678039"/>
      <w:bookmarkStart w:id="655" w:name="_Toc296944540"/>
      <w:bookmarkStart w:id="656" w:name="_Toc297123550"/>
      <w:bookmarkStart w:id="657" w:name="_Toc296891029"/>
      <w:bookmarkStart w:id="658" w:name="_Toc296891241"/>
      <w:bookmarkStart w:id="659" w:name="_Toc304295577"/>
      <w:bookmarkStart w:id="660" w:name="_Toc297048387"/>
      <w:bookmarkStart w:id="661" w:name="_Toc297216209"/>
      <w:bookmarkStart w:id="662" w:name="_Toc292559911"/>
      <w:bookmarkStart w:id="663" w:name="_Toc296346702"/>
      <w:bookmarkStart w:id="664" w:name="_Toc300935000"/>
      <w:bookmarkStart w:id="665" w:name="_Toc296346706"/>
      <w:bookmarkStart w:id="666" w:name="_Toc296347204"/>
      <w:bookmarkStart w:id="667" w:name="_Toc296503205"/>
      <w:bookmarkStart w:id="668" w:name="_Toc297048391"/>
      <w:bookmarkStart w:id="669" w:name="_Toc292559915"/>
      <w:bookmarkStart w:id="670" w:name="_Toc297120505"/>
      <w:bookmarkStart w:id="671" w:name="_Toc296891033"/>
      <w:bookmarkStart w:id="672" w:name="_Toc296944544"/>
      <w:bookmarkStart w:id="673" w:name="_Toc292559410"/>
      <w:bookmarkStart w:id="674" w:name="_Toc296891245"/>
      <w:bookmarkStart w:id="675" w:name="_Toc304295579"/>
      <w:bookmarkStart w:id="676" w:name="_Toc300935002"/>
      <w:bookmarkStart w:id="677" w:name="_Toc297216211"/>
      <w:bookmarkStart w:id="678" w:name="_Toc297123552"/>
      <w:bookmarkStart w:id="679" w:name="_Toc312678040"/>
      <w:bookmarkStart w:id="680" w:name="_Toc303539159"/>
      <w:r>
        <w:rPr>
          <w:rFonts w:hint="eastAsia" w:ascii="宋体" w:hAnsi="宋体" w:cs="宋体"/>
          <w:szCs w:val="21"/>
          <w:highlight w:val="none"/>
        </w:rPr>
        <w:t xml:space="preserve">16..1 </w:t>
      </w:r>
      <w:r>
        <w:rPr>
          <w:rFonts w:hint="eastAsia" w:ascii="宋体" w:hAnsi="宋体"/>
          <w:szCs w:val="21"/>
          <w:highlight w:val="none"/>
        </w:rPr>
        <w:t>物价波动引起的价格调整</w:t>
      </w:r>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市场价格波动是否调整合同价格的约定：</w:t>
      </w:r>
      <w:r>
        <w:rPr>
          <w:rFonts w:hint="eastAsia" w:ascii="宋体" w:hAnsi="宋体" w:cs="宋体"/>
          <w:szCs w:val="21"/>
          <w:highlight w:val="none"/>
          <w:u w:val="single"/>
        </w:rPr>
        <w:t>调整</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因市场价格波动调整合同价格，采用以下第</w:t>
      </w:r>
      <w:r>
        <w:rPr>
          <w:rFonts w:hint="eastAsia" w:ascii="宋体" w:hAnsi="宋体" w:cs="宋体"/>
          <w:szCs w:val="21"/>
          <w:highlight w:val="none"/>
          <w:u w:val="single"/>
        </w:rPr>
        <w:t xml:space="preserve"> 2 </w:t>
      </w:r>
      <w:r>
        <w:rPr>
          <w:rFonts w:hint="eastAsia" w:ascii="宋体" w:hAnsi="宋体" w:cs="宋体"/>
          <w:szCs w:val="21"/>
          <w:highlight w:val="none"/>
        </w:rPr>
        <w:t xml:space="preserve"> 种方式对合同价格进行调整：</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第1种方式：采用价格指数进行价格调整。</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关于各可调因子、定值和变值权重，以及基本价格指数及其来源的约定。</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第2种方式：</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bookmarkStart w:id="681" w:name="_Hlk121598602"/>
      <w:r>
        <w:rPr>
          <w:rFonts w:hint="eastAsia" w:ascii="宋体" w:hAnsi="宋体" w:cs="宋体"/>
          <w:szCs w:val="21"/>
          <w:highlight w:val="none"/>
        </w:rPr>
        <w:t>关于基准价格的约定</w:t>
      </w:r>
      <w:bookmarkEnd w:id="681"/>
      <w:r>
        <w:rPr>
          <w:rFonts w:hint="eastAsia" w:ascii="宋体" w:hAnsi="宋体" w:cs="宋体"/>
          <w:szCs w:val="21"/>
          <w:highlight w:val="none"/>
        </w:rPr>
        <w:t>：</w:t>
      </w:r>
      <w:r>
        <w:rPr>
          <w:rFonts w:hint="eastAsia" w:ascii="宋体" w:hAnsi="宋体" w:cs="宋体"/>
          <w:szCs w:val="21"/>
          <w:highlight w:val="none"/>
          <w:u w:val="single"/>
        </w:rPr>
        <w:t>1、</w:t>
      </w:r>
      <w:bookmarkStart w:id="682" w:name="_Hlk121598626"/>
      <w:r>
        <w:rPr>
          <w:rFonts w:hint="eastAsia" w:ascii="宋体" w:hAnsi="宋体" w:cs="宋体"/>
          <w:szCs w:val="21"/>
          <w:highlight w:val="none"/>
          <w:u w:val="single"/>
        </w:rPr>
        <w:t>信息价中有的材料，以招标时采用的郑州市建设工程造价管理办公室发布的最新月份《郑州市建设工程主要材料基准价格信息》中相应材料基准价，月信息价里面没有的而季度信息价有的，参考最新季度的《郑州市建设工程主要材料基准价格信息》中相应材料基准价。</w:t>
      </w:r>
      <w:bookmarkEnd w:id="682"/>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材料、工程设备价格变化的价款调整按照发包人提供的基准价格，按以下风险范围规定执行:</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①承包人在已标价工程量清单或预算书中载明材料单价低于基准价格的：合同履行期间材料单价涨幅以基准价格为基础超过5%时，或材料单价跌幅以在已标价工程量清单或预算书中载明材料单价为基础超过5%时，其超过5%的部分据实调整。</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②承包人在已标价工程量清单或预算书中载明材料单价高于基准价格的：合同履行期间材料单价跌幅以基准价格为基础超过5%时，材料单价涨幅以在已标价工程量清单或预算书中载明材料单价为基础超过5%时，其超过部分据实调整。</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③承包人在已标价工程量清单或预算书中载明材料单价等于基准价格的：合同履行期间材料单价涨跌幅以基准价格为基础超过±5%时，其超过部分据实调整。</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前述基准价格是指由发包人在招标文件或专用合同条款中给定的材料、工程设备的价格，该价格原则上应当按照省级或行业建设主管部门或其授权的工程造价管理机构发布的信息价编制。大气管控期间，若混凝土等市场价格与信息价偏差较大时，待市政府或相关部门出具相关政策后，施工单位上报混凝土量等至监理与甲方同意后，按文件执行。</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人工费按照河南省发布人工价格指数文件执行动态调整计入。</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第3种方式：其他价格调整方式：</w:t>
      </w:r>
      <w:r>
        <w:rPr>
          <w:rFonts w:hint="eastAsia" w:ascii="宋体" w:hAnsi="宋体" w:cs="宋体"/>
          <w:szCs w:val="21"/>
          <w:highlight w:val="none"/>
          <w:u w:val="single"/>
        </w:rPr>
        <w:t xml:space="preserve"> / </w:t>
      </w:r>
      <w:r>
        <w:rPr>
          <w:rFonts w:hint="eastAsia" w:ascii="宋体" w:hAnsi="宋体" w:cs="宋体"/>
          <w:szCs w:val="21"/>
          <w:highlight w:val="none"/>
        </w:rPr>
        <w:t>。</w:t>
      </w:r>
    </w:p>
    <w:bookmarkEnd w:id="665"/>
    <w:bookmarkEnd w:id="666"/>
    <w:bookmarkEnd w:id="667"/>
    <w:bookmarkEnd w:id="668"/>
    <w:bookmarkEnd w:id="669"/>
    <w:bookmarkEnd w:id="670"/>
    <w:bookmarkEnd w:id="671"/>
    <w:bookmarkEnd w:id="672"/>
    <w:bookmarkEnd w:id="673"/>
    <w:bookmarkEnd w:id="674"/>
    <w:p>
      <w:pPr>
        <w:keepNext w:val="0"/>
        <w:keepLines w:val="0"/>
        <w:pageBreakBefore w:val="0"/>
        <w:shd w:val="clear" w:fill="auto"/>
        <w:kinsoku/>
        <w:wordWrap/>
        <w:overflowPunct/>
        <w:topLinePunct w:val="0"/>
        <w:bidi w:val="0"/>
        <w:snapToGrid/>
        <w:spacing w:line="420" w:lineRule="exact"/>
        <w:ind w:left="0" w:leftChars="0"/>
        <w:textAlignment w:val="auto"/>
        <w:outlineLvl w:val="9"/>
        <w:rPr>
          <w:rFonts w:ascii="宋体" w:hAnsi="宋体" w:cs="宋体"/>
          <w:szCs w:val="21"/>
          <w:highlight w:val="none"/>
        </w:rPr>
      </w:pPr>
      <w:bookmarkStart w:id="683" w:name="_Toc28603"/>
      <w:r>
        <w:rPr>
          <w:rFonts w:hint="eastAsia" w:ascii="宋体" w:hAnsi="宋体" w:cs="宋体"/>
          <w:szCs w:val="21"/>
          <w:highlight w:val="none"/>
        </w:rPr>
        <w:t>17.计量与支付</w:t>
      </w:r>
      <w:bookmarkEnd w:id="683"/>
    </w:p>
    <w:bookmarkEnd w:id="675"/>
    <w:bookmarkEnd w:id="676"/>
    <w:bookmarkEnd w:id="677"/>
    <w:bookmarkEnd w:id="678"/>
    <w:bookmarkEnd w:id="679"/>
    <w:bookmarkEnd w:id="680"/>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bookmarkStart w:id="684" w:name="_Toc297216213"/>
      <w:bookmarkStart w:id="685" w:name="_Toc312678042"/>
      <w:bookmarkStart w:id="686" w:name="_Toc304295581"/>
      <w:bookmarkStart w:id="687" w:name="_Toc303539161"/>
      <w:bookmarkStart w:id="688" w:name="_Toc297123554"/>
      <w:bookmarkStart w:id="689" w:name="_Toc300935004"/>
      <w:bookmarkStart w:id="690" w:name="_Toc292559412"/>
      <w:bookmarkStart w:id="691" w:name="_Toc296346708"/>
      <w:bookmarkStart w:id="692" w:name="_Toc297048393"/>
      <w:bookmarkStart w:id="693" w:name="_Toc296891035"/>
      <w:bookmarkStart w:id="694" w:name="_Toc296347206"/>
      <w:bookmarkStart w:id="695" w:name="_Toc297120507"/>
      <w:bookmarkStart w:id="696" w:name="_Toc292559917"/>
      <w:bookmarkStart w:id="697" w:name="_Toc296891247"/>
      <w:bookmarkStart w:id="698" w:name="_Toc296944546"/>
      <w:bookmarkStart w:id="699" w:name="_Toc296503207"/>
      <w:r>
        <w:rPr>
          <w:rFonts w:hint="eastAsia" w:ascii="宋体" w:hAnsi="宋体" w:cs="宋体"/>
          <w:szCs w:val="21"/>
          <w:highlight w:val="none"/>
        </w:rPr>
        <w:t>17.1计量</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17.1.2 计量方法</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工程量计算规则：</w:t>
      </w:r>
      <w:r>
        <w:rPr>
          <w:rFonts w:hint="eastAsia" w:ascii="宋体" w:hAnsi="宋体" w:cs="宋体"/>
          <w:szCs w:val="21"/>
          <w:highlight w:val="none"/>
          <w:u w:val="single"/>
        </w:rPr>
        <w:t xml:space="preserve"> 计量采用国家法定的计量单位。工程量清单中的工程量计算规则应按有关国家标准、行业标准的规定，并在合同中约定执行。工程量计算规则执行国家标准《水利工程工程量清单计价规范》（GB50501-2007）或其适用的修订版本。除合同另有约定外，承包人实际完成的工程量按约定的工程量计算规则和有合同约束力的图纸进行计量</w:t>
      </w:r>
      <w:bookmarkStart w:id="700" w:name="_Toc10888"/>
      <w:bookmarkStart w:id="701" w:name="_Hlk121597955"/>
      <w:r>
        <w:rPr>
          <w:rFonts w:hint="eastAsia" w:ascii="宋体" w:hAnsi="宋体" w:cs="宋体"/>
          <w:szCs w:val="21"/>
          <w:highlight w:val="none"/>
          <w:u w:val="single"/>
        </w:rPr>
        <w:t>。设计变更和现场签证参照已标价工程量清单或根据工程资料、计量规则和计价办法、工程造价管理机构发布的信息价格定价的均以最高投标限价和中标价的优惠比例进行优惠。</w:t>
      </w:r>
      <w:bookmarkEnd w:id="700"/>
      <w:bookmarkEnd w:id="701"/>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17.1.3计量周期</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rPr>
        <w:t>关于计量周期的约定：</w:t>
      </w:r>
      <w:r>
        <w:rPr>
          <w:rFonts w:hint="eastAsia" w:ascii="宋体" w:hAnsi="宋体" w:cs="宋体"/>
          <w:szCs w:val="21"/>
          <w:highlight w:val="none"/>
          <w:u w:val="single"/>
        </w:rPr>
        <w:t>（1）本合同的计量周期为月，每月25日为当月计量截止日期（不含当日）和下月计量起始日期（含当日）。</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u w:val="single"/>
        </w:rPr>
        <w:t xml:space="preserve">（2）本合同价款执行单价合同形式，子目计量方法按专用合同条款总价子目的计量——按实际完成工程量计量（按实际完成工程量计量）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17.1.4单价子目的计量</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关于单价合同计量的约定：</w:t>
      </w:r>
      <w:r>
        <w:rPr>
          <w:rFonts w:hint="eastAsia" w:ascii="宋体" w:hAnsi="宋体" w:cs="宋体"/>
          <w:szCs w:val="21"/>
          <w:highlight w:val="none"/>
          <w:u w:val="single"/>
        </w:rPr>
        <w:t xml:space="preserve">依据发包人和监理人确认的工程实际完成量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17.1.5总价子目的计量</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关于总价合同计量的约定：</w:t>
      </w:r>
      <w:r>
        <w:rPr>
          <w:rFonts w:hint="eastAsia" w:ascii="宋体" w:hAnsi="宋体" w:cs="宋体"/>
          <w:szCs w:val="21"/>
          <w:highlight w:val="none"/>
          <w:u w:val="single"/>
        </w:rPr>
        <w:t xml:space="preserve">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17.2预付款</w:t>
      </w:r>
    </w:p>
    <w:bookmarkEnd w:id="684"/>
    <w:bookmarkEnd w:id="685"/>
    <w:bookmarkEnd w:id="686"/>
    <w:bookmarkEnd w:id="687"/>
    <w:bookmarkEnd w:id="688"/>
    <w:bookmarkEnd w:id="689"/>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17.2.1 预付款的支付</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预付款支付比例或金额：</w:t>
      </w:r>
      <w:r>
        <w:rPr>
          <w:rFonts w:hint="eastAsia" w:ascii="宋体" w:hAnsi="宋体" w:cs="宋体"/>
          <w:szCs w:val="21"/>
          <w:highlight w:val="none"/>
          <w:u w:val="single"/>
        </w:rPr>
        <w:t>合同签订后拨付工程预付款，拨付比例为签约合同价的</w:t>
      </w:r>
      <w:r>
        <w:rPr>
          <w:rFonts w:hint="eastAsia" w:ascii="宋体" w:hAnsi="宋体" w:cs="宋体"/>
          <w:szCs w:val="21"/>
          <w:highlight w:val="none"/>
          <w:u w:val="single"/>
          <w:lang w:val="en-US" w:eastAsia="zh-CN"/>
        </w:rPr>
        <w:t>1</w:t>
      </w:r>
      <w:r>
        <w:rPr>
          <w:rFonts w:hint="eastAsia" w:ascii="宋体" w:hAnsi="宋体" w:cs="宋体"/>
          <w:szCs w:val="21"/>
          <w:highlight w:val="none"/>
          <w:u w:val="single"/>
        </w:rPr>
        <w:t>0%（含安全文明施工费50%）</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预付款扣回的方式：</w:t>
      </w:r>
      <w:r>
        <w:rPr>
          <w:rFonts w:hint="eastAsia" w:ascii="宋体" w:hAnsi="宋体" w:cs="宋体"/>
          <w:szCs w:val="21"/>
          <w:highlight w:val="none"/>
          <w:u w:val="single"/>
        </w:rPr>
        <w:t>/</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17.2.2 预付款保函</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承包人提交预付款保函的期限：</w:t>
      </w:r>
      <w:r>
        <w:rPr>
          <w:rFonts w:hint="eastAsia" w:ascii="宋体" w:hAnsi="宋体" w:cs="宋体"/>
          <w:szCs w:val="21"/>
          <w:highlight w:val="none"/>
          <w:u w:val="single"/>
        </w:rPr>
        <w:t xml:space="preserve">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预付款保函的形式为：</w:t>
      </w:r>
      <w:r>
        <w:rPr>
          <w:rFonts w:hint="eastAsia" w:ascii="宋体" w:hAnsi="宋体" w:cs="宋体"/>
          <w:szCs w:val="21"/>
          <w:highlight w:val="none"/>
          <w:u w:val="single"/>
        </w:rPr>
        <w:t xml:space="preserve">                 /                 </w:t>
      </w:r>
      <w:r>
        <w:rPr>
          <w:rFonts w:hint="eastAsia" w:ascii="宋体" w:hAnsi="宋体" w:cs="宋体"/>
          <w:szCs w:val="21"/>
          <w:highlight w:val="none"/>
        </w:rPr>
        <w:t>。</w:t>
      </w:r>
    </w:p>
    <w:bookmarkEnd w:id="690"/>
    <w:bookmarkEnd w:id="691"/>
    <w:bookmarkEnd w:id="692"/>
    <w:bookmarkEnd w:id="693"/>
    <w:bookmarkEnd w:id="694"/>
    <w:bookmarkEnd w:id="695"/>
    <w:bookmarkEnd w:id="696"/>
    <w:bookmarkEnd w:id="697"/>
    <w:bookmarkEnd w:id="698"/>
    <w:bookmarkEnd w:id="699"/>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17.3工程进度款支付</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bookmarkStart w:id="702" w:name="_Hlk121599437"/>
      <w:bookmarkStart w:id="703" w:name="_Toc296891251"/>
      <w:bookmarkStart w:id="704" w:name="_Toc300935006"/>
      <w:bookmarkStart w:id="705" w:name="_Toc297120511"/>
      <w:bookmarkStart w:id="706" w:name="_Toc296891039"/>
      <w:bookmarkStart w:id="707" w:name="_Toc292559921"/>
      <w:bookmarkStart w:id="708" w:name="_Toc297048397"/>
      <w:bookmarkStart w:id="709" w:name="_Toc296503211"/>
      <w:bookmarkStart w:id="710" w:name="_Toc296944550"/>
      <w:bookmarkStart w:id="711" w:name="_Toc292559416"/>
      <w:bookmarkStart w:id="712" w:name="_Toc296346712"/>
      <w:bookmarkStart w:id="713" w:name="_Toc296347210"/>
      <w:bookmarkStart w:id="714" w:name="_Toc297216215"/>
      <w:bookmarkStart w:id="715" w:name="_Toc303539163"/>
      <w:bookmarkStart w:id="716" w:name="_Toc297123556"/>
      <w:r>
        <w:rPr>
          <w:rFonts w:hint="eastAsia" w:ascii="宋体" w:hAnsi="宋体" w:cs="宋体"/>
          <w:szCs w:val="21"/>
          <w:highlight w:val="none"/>
        </w:rPr>
        <w:t>17.3.1付款周期</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rPr>
        <w:t>关于付款周期的约定：</w:t>
      </w:r>
      <w:bookmarkEnd w:id="702"/>
      <w:r>
        <w:rPr>
          <w:rFonts w:hint="eastAsia" w:ascii="宋体" w:hAnsi="宋体" w:cs="宋体"/>
          <w:szCs w:val="21"/>
          <w:highlight w:val="none"/>
          <w:u w:val="single"/>
        </w:rPr>
        <w:t>发包人按完成工程量</w:t>
      </w:r>
      <w:r>
        <w:rPr>
          <w:rFonts w:hint="eastAsia" w:ascii="宋体" w:hAnsi="宋体" w:cs="宋体"/>
          <w:szCs w:val="21"/>
          <w:highlight w:val="none"/>
          <w:u w:val="single"/>
          <w:lang w:eastAsia="zh-CN"/>
        </w:rPr>
        <w:t>且财政资金到位后</w:t>
      </w:r>
      <w:r>
        <w:rPr>
          <w:rFonts w:hint="eastAsia" w:ascii="宋体" w:hAnsi="宋体" w:cs="宋体"/>
          <w:szCs w:val="21"/>
          <w:highlight w:val="none"/>
          <w:u w:val="single"/>
        </w:rPr>
        <w:t>支付承包人进度款，工程全部完工</w:t>
      </w:r>
      <w:r>
        <w:rPr>
          <w:rFonts w:hint="eastAsia" w:ascii="宋体" w:hAnsi="宋体" w:cs="宋体"/>
          <w:szCs w:val="21"/>
          <w:highlight w:val="none"/>
          <w:u w:val="single"/>
          <w:lang w:val="en-US" w:eastAsia="zh-CN"/>
        </w:rPr>
        <w:t>后</w:t>
      </w:r>
      <w:r>
        <w:rPr>
          <w:rFonts w:hint="eastAsia" w:ascii="宋体" w:hAnsi="宋体" w:cs="宋体"/>
          <w:szCs w:val="21"/>
          <w:highlight w:val="none"/>
          <w:u w:val="single"/>
        </w:rPr>
        <w:t>，经由监理确认发包人认可，发包人支付至合同总价的</w:t>
      </w:r>
      <w:r>
        <w:rPr>
          <w:rFonts w:hint="eastAsia" w:ascii="宋体" w:hAnsi="宋体" w:cs="宋体"/>
          <w:szCs w:val="21"/>
          <w:highlight w:val="none"/>
          <w:u w:val="single"/>
          <w:lang w:val="en-US" w:eastAsia="zh-CN"/>
        </w:rPr>
        <w:t>8</w:t>
      </w:r>
      <w:r>
        <w:rPr>
          <w:rFonts w:hint="eastAsia" w:ascii="宋体" w:hAnsi="宋体" w:cs="宋体"/>
          <w:szCs w:val="21"/>
          <w:highlight w:val="none"/>
          <w:u w:val="single"/>
        </w:rPr>
        <w:t>0</w:t>
      </w:r>
      <w:r>
        <w:rPr>
          <w:rFonts w:ascii="宋体" w:hAnsi="宋体" w:cs="宋体"/>
          <w:szCs w:val="21"/>
          <w:highlight w:val="none"/>
          <w:u w:val="single"/>
        </w:rPr>
        <w:t>%</w:t>
      </w:r>
      <w:r>
        <w:rPr>
          <w:rFonts w:hint="eastAsia" w:ascii="宋体" w:hAnsi="宋体" w:cs="宋体"/>
          <w:szCs w:val="21"/>
          <w:highlight w:val="none"/>
          <w:u w:val="single"/>
        </w:rPr>
        <w:t>。</w:t>
      </w:r>
      <w:r>
        <w:rPr>
          <w:rFonts w:ascii="宋体" w:hAnsi="宋体" w:cs="宋体"/>
          <w:szCs w:val="21"/>
          <w:highlight w:val="none"/>
          <w:u w:val="single"/>
        </w:rPr>
        <w:t>工程交工验收后，由</w:t>
      </w:r>
      <w:r>
        <w:rPr>
          <w:rFonts w:hint="eastAsia" w:ascii="宋体" w:hAnsi="宋体" w:cs="宋体"/>
          <w:szCs w:val="21"/>
          <w:highlight w:val="none"/>
          <w:u w:val="single"/>
        </w:rPr>
        <w:t>政府相关</w:t>
      </w:r>
      <w:r>
        <w:rPr>
          <w:rFonts w:ascii="宋体" w:hAnsi="宋体" w:cs="宋体"/>
          <w:szCs w:val="21"/>
          <w:highlight w:val="none"/>
          <w:u w:val="single"/>
        </w:rPr>
        <w:t>部门全面决算</w:t>
      </w:r>
      <w:r>
        <w:rPr>
          <w:rFonts w:hint="eastAsia" w:ascii="宋体" w:hAnsi="宋体" w:cs="宋体"/>
          <w:szCs w:val="21"/>
          <w:highlight w:val="none"/>
          <w:u w:val="single"/>
        </w:rPr>
        <w:t>完成后</w:t>
      </w:r>
      <w:r>
        <w:rPr>
          <w:rFonts w:ascii="宋体" w:hAnsi="宋体" w:cs="宋体"/>
          <w:szCs w:val="21"/>
          <w:highlight w:val="none"/>
          <w:u w:val="single"/>
        </w:rPr>
        <w:t>，拨付至结算价的97%，结算价的3%作为质保金。质保金待缺陷责任期满后清算，扣除因施工质量造成的返修等费用，28个工作日后无息支付。每次付款前，承包人均应提供足额合规的增值税专用发票，否则发包人有权拒绝支付且不承担任何违约责任。（注：工资性工程款作为同期进度款一部分单独计取支付）</w:t>
      </w:r>
      <w:r>
        <w:rPr>
          <w:rFonts w:hint="eastAsia" w:ascii="宋体" w:hAnsi="宋体" w:cs="宋体"/>
          <w:szCs w:val="21"/>
          <w:highlight w:val="none"/>
          <w:u w:val="singl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u w:val="single"/>
        </w:rPr>
        <w:t>进度款资金拨付申请、审查：工程正常施工期间，承包单位发起工资性工程款申请，经监理单位总监理工程师进行审核，审批无误确认后提交发包人。工程计量，每次进行工程款拨付申请时，承包人须向发包人出具不拖欠农民工工资承诺书。</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u w:val="single"/>
        </w:rPr>
        <w:t>承包人以实名制管理信息为基础，按月考核农民工工作量并编制工资支付表，经农民工本人签字确认后，与农民工考勤表（工作量表）、当月工程进度等情况随进度款支付申请一并报监理审核。农民工工资须按月发放。</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u w:val="single"/>
        </w:rPr>
        <w:t>支付方式：银行转账或银行承兑汇票或财政零余额账户统一支付。</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u w:val="single"/>
        </w:rPr>
        <w:t>每次付款前，承包人应提供足额合法的增值税普通发票并缴纳因自身原因产生的扣款（若有），否则发包人有权拒绝付款且不承担任何违约责任。发包人支付至合同结算的97%时，承包人应提供合同结算价全额的发票。</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bookmarkStart w:id="717" w:name="_Hlk121599656"/>
      <w:r>
        <w:rPr>
          <w:rFonts w:hint="eastAsia" w:ascii="宋体" w:hAnsi="宋体" w:cs="宋体"/>
          <w:szCs w:val="21"/>
          <w:highlight w:val="none"/>
        </w:rPr>
        <w:t>17.3.2 进度付款申请单</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rPr>
        <w:t>关于进度付款申请单编制的约定：</w:t>
      </w:r>
      <w:r>
        <w:rPr>
          <w:rFonts w:hint="eastAsia" w:ascii="宋体" w:hAnsi="宋体" w:cs="宋体"/>
          <w:szCs w:val="21"/>
          <w:highlight w:val="none"/>
          <w:u w:val="single"/>
        </w:rPr>
        <w:t xml:space="preserve"> 涉及设计变更工程由造价咨询机构审核后，经监理审核报发包人确认后，合同内材料费按75%、施工费按50%进入工程计量；合同外材料费、施工费等按变更对应造价的50%进入工程计量。监理审核、发包人确认的变更造价不作为结算的依据。所有涉及签证的建设内容，决算审计前不予支付。</w:t>
      </w:r>
    </w:p>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进度付款申请单的提交</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（1）单价合同进度付款申请单提交的约定：</w:t>
      </w:r>
      <w:r>
        <w:rPr>
          <w:rFonts w:hint="eastAsia" w:ascii="宋体" w:hAnsi="宋体" w:cs="宋体"/>
          <w:szCs w:val="21"/>
          <w:highlight w:val="none"/>
          <w:u w:val="single"/>
        </w:rPr>
        <w:t xml:space="preserve"> 按发包人工程款支付管理规定执行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（2）总价合同进度付款申请单提交的约定：</w:t>
      </w:r>
      <w:r>
        <w:rPr>
          <w:rFonts w:hint="eastAsia" w:ascii="宋体" w:hAnsi="宋体" w:cs="宋体"/>
          <w:szCs w:val="21"/>
          <w:highlight w:val="none"/>
          <w:u w:val="single"/>
        </w:rPr>
        <w:t xml:space="preserve">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（3）其他价格形式合同进度付款申请单提交的约定：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17.3.3 进度付款证书和支付时间</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rPr>
        <w:t>（1）监理人审查并报送发包人的期限：</w:t>
      </w:r>
      <w:r>
        <w:rPr>
          <w:rFonts w:hint="eastAsia" w:ascii="宋体" w:hAnsi="宋体" w:cs="宋体"/>
          <w:szCs w:val="21"/>
          <w:highlight w:val="none"/>
          <w:u w:val="single"/>
        </w:rPr>
        <w:t xml:space="preserve"> 收到申请3个工作日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发包人完成审批并签发进度款支付证书的期限：</w:t>
      </w:r>
      <w:r>
        <w:rPr>
          <w:rFonts w:hint="eastAsia" w:ascii="宋体" w:hAnsi="宋体" w:cs="宋体"/>
          <w:szCs w:val="21"/>
          <w:highlight w:val="none"/>
          <w:u w:val="single"/>
        </w:rPr>
        <w:t xml:space="preserve"> 收到监理审查报告后7个工作日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（2）发包人支付进度款的期限：</w:t>
      </w:r>
      <w:r>
        <w:rPr>
          <w:rFonts w:hint="eastAsia" w:ascii="宋体" w:hAnsi="宋体" w:cs="宋体"/>
          <w:szCs w:val="21"/>
          <w:highlight w:val="none"/>
          <w:u w:val="single"/>
        </w:rPr>
        <w:t xml:space="preserve">进度款支付证书签发后14天内完成支付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textAlignment w:val="auto"/>
        <w:outlineLvl w:val="9"/>
        <w:rPr>
          <w:rFonts w:ascii="宋体" w:hAnsi="宋体" w:cs="宋体"/>
          <w:szCs w:val="21"/>
          <w:highlight w:val="none"/>
        </w:rPr>
      </w:pPr>
      <w:r>
        <w:rPr>
          <w:rFonts w:hint="eastAsia" w:ascii="宋体" w:hAnsi="宋体" w:cs="宋体"/>
          <w:szCs w:val="21"/>
          <w:highlight w:val="none"/>
        </w:rPr>
        <w:t>发包人逾期支付进度款的违约金的计算方式：</w:t>
      </w:r>
      <w:r>
        <w:rPr>
          <w:rFonts w:hint="eastAsia" w:ascii="宋体" w:hAnsi="宋体" w:cs="宋体"/>
          <w:szCs w:val="21"/>
          <w:highlight w:val="none"/>
          <w:u w:val="single"/>
        </w:rPr>
        <w:t xml:space="preserve">   /      </w:t>
      </w:r>
      <w:r>
        <w:rPr>
          <w:rFonts w:hint="eastAsia" w:ascii="宋体" w:hAnsi="宋体" w:cs="宋体"/>
          <w:szCs w:val="21"/>
          <w:highlight w:val="none"/>
        </w:rPr>
        <w:t>。</w:t>
      </w:r>
      <w:bookmarkStart w:id="718" w:name="_Toc32242"/>
    </w:p>
    <w:p>
      <w:pPr>
        <w:keepNext w:val="0"/>
        <w:keepLines w:val="0"/>
        <w:pageBreakBefore w:val="0"/>
        <w:shd w:val="clear" w:fill="auto"/>
        <w:kinsoku/>
        <w:wordWrap/>
        <w:overflowPunct/>
        <w:topLinePunct w:val="0"/>
        <w:bidi w:val="0"/>
        <w:snapToGrid/>
        <w:spacing w:line="420" w:lineRule="exact"/>
        <w:ind w:left="0" w:leftChars="0"/>
        <w:textAlignment w:val="auto"/>
        <w:outlineLvl w:val="9"/>
        <w:rPr>
          <w:rFonts w:ascii="宋体" w:hAnsi="宋体" w:cs="宋体"/>
          <w:szCs w:val="21"/>
          <w:highlight w:val="none"/>
        </w:rPr>
      </w:pPr>
      <w:bookmarkStart w:id="719" w:name="_Toc9159"/>
      <w:bookmarkStart w:id="720" w:name="_Toc512676404"/>
      <w:r>
        <w:rPr>
          <w:rFonts w:hint="eastAsia" w:ascii="宋体" w:hAnsi="宋体" w:cs="宋体"/>
          <w:szCs w:val="21"/>
          <w:highlight w:val="none"/>
        </w:rPr>
        <w:t>17.4质量保证金</w:t>
      </w:r>
      <w:bookmarkEnd w:id="719"/>
      <w:bookmarkEnd w:id="720"/>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17.4.1关于是否扣留质量保证金的约定：</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按</w:t>
      </w:r>
      <w:r>
        <w:rPr>
          <w:rFonts w:hint="eastAsia" w:ascii="宋体" w:hAnsi="宋体" w:cs="宋体"/>
          <w:szCs w:val="21"/>
          <w:highlight w:val="none"/>
          <w:u w:val="single"/>
        </w:rPr>
        <w:t xml:space="preserve">照竣工结算价格的3%比例预留 </w:t>
      </w:r>
      <w:r>
        <w:rPr>
          <w:rFonts w:hint="eastAsia" w:ascii="宋体" w:hAnsi="宋体" w:cs="宋体"/>
          <w:szCs w:val="21"/>
          <w:highlight w:val="none"/>
        </w:rPr>
        <w:t>。在工程项目竣工前，承包人按专用合同条款第4.2条提供履约担保的，发包人不得同时预留工程质量保证金。</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bookmarkStart w:id="721" w:name="_Toc8066"/>
      <w:bookmarkStart w:id="722" w:name="_Toc512676405"/>
      <w:r>
        <w:rPr>
          <w:rFonts w:hint="eastAsia" w:ascii="宋体" w:hAnsi="宋体" w:cs="宋体"/>
          <w:szCs w:val="21"/>
          <w:highlight w:val="none"/>
        </w:rPr>
        <w:t>承包人提供质量保证金的方式</w:t>
      </w:r>
      <w:bookmarkEnd w:id="721"/>
      <w:bookmarkEnd w:id="722"/>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质量保证金采用以下第</w:t>
      </w:r>
      <w:r>
        <w:rPr>
          <w:rFonts w:hint="eastAsia" w:ascii="宋体" w:hAnsi="宋体" w:cs="宋体"/>
          <w:szCs w:val="21"/>
          <w:highlight w:val="none"/>
          <w:u w:val="single"/>
        </w:rPr>
        <w:t xml:space="preserve">  （2）  </w:t>
      </w:r>
      <w:r>
        <w:rPr>
          <w:rFonts w:hint="eastAsia" w:ascii="宋体" w:hAnsi="宋体" w:cs="宋体"/>
          <w:szCs w:val="21"/>
          <w:highlight w:val="none"/>
        </w:rPr>
        <w:t>种方式：</w:t>
      </w:r>
    </w:p>
    <w:p>
      <w:pPr>
        <w:keepNext w:val="0"/>
        <w:keepLines w:val="0"/>
        <w:pageBreakBefore w:val="0"/>
        <w:shd w:val="clear" w:fill="auto"/>
        <w:kinsoku/>
        <w:wordWrap/>
        <w:overflowPunct/>
        <w:topLinePunct w:val="0"/>
        <w:autoSpaceDE w:val="0"/>
        <w:autoSpaceDN w:val="0"/>
        <w:bidi w:val="0"/>
        <w:adjustRightInd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（1）质量保证金保函，保证金额为：</w:t>
      </w:r>
      <w:r>
        <w:rPr>
          <w:rFonts w:hint="eastAsia" w:ascii="宋体" w:hAnsi="宋体" w:cs="宋体"/>
          <w:kern w:val="0"/>
          <w:szCs w:val="21"/>
          <w:highlight w:val="none"/>
          <w:u w:val="single"/>
        </w:rPr>
        <w:t xml:space="preserve">        /           </w:t>
      </w:r>
      <w:r>
        <w:rPr>
          <w:rFonts w:hint="eastAsia" w:ascii="宋体" w:hAnsi="宋体" w:cs="宋体"/>
          <w:kern w:val="0"/>
          <w:szCs w:val="21"/>
          <w:highlight w:val="none"/>
        </w:rPr>
        <w:t xml:space="preserve">； </w:t>
      </w:r>
    </w:p>
    <w:p>
      <w:pPr>
        <w:keepNext w:val="0"/>
        <w:keepLines w:val="0"/>
        <w:pageBreakBefore w:val="0"/>
        <w:shd w:val="clear" w:fill="auto"/>
        <w:kinsoku/>
        <w:wordWrap/>
        <w:overflowPunct/>
        <w:topLinePunct w:val="0"/>
        <w:autoSpaceDE w:val="0"/>
        <w:autoSpaceDN w:val="0"/>
        <w:bidi w:val="0"/>
        <w:adjustRightInd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u w:val="single"/>
        </w:rPr>
        <w:t xml:space="preserve">  3 </w:t>
      </w:r>
      <w:r>
        <w:rPr>
          <w:rFonts w:hint="eastAsia" w:ascii="宋体" w:hAnsi="宋体" w:cs="宋体"/>
          <w:kern w:val="0"/>
          <w:szCs w:val="21"/>
          <w:highlight w:val="none"/>
        </w:rPr>
        <w:t>%的工程款；</w:t>
      </w:r>
    </w:p>
    <w:p>
      <w:pPr>
        <w:keepNext w:val="0"/>
        <w:keepLines w:val="0"/>
        <w:pageBreakBefore w:val="0"/>
        <w:shd w:val="clear" w:fill="auto"/>
        <w:kinsoku/>
        <w:wordWrap/>
        <w:overflowPunct/>
        <w:topLinePunct w:val="0"/>
        <w:autoSpaceDE w:val="0"/>
        <w:autoSpaceDN w:val="0"/>
        <w:bidi w:val="0"/>
        <w:adjustRightInd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（3）其他方式:</w:t>
      </w:r>
      <w:r>
        <w:rPr>
          <w:rFonts w:hint="eastAsia" w:ascii="宋体" w:hAnsi="宋体" w:cs="宋体"/>
          <w:kern w:val="0"/>
          <w:szCs w:val="21"/>
          <w:highlight w:val="none"/>
          <w:u w:val="single"/>
        </w:rPr>
        <w:t xml:space="preserve">                /                       </w:t>
      </w:r>
      <w:r>
        <w:rPr>
          <w:rFonts w:hint="eastAsia" w:ascii="宋体" w:hAnsi="宋体" w:cs="宋体"/>
          <w:kern w:val="0"/>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bookmarkStart w:id="723" w:name="_Toc5243"/>
      <w:bookmarkStart w:id="724" w:name="_Toc512676406"/>
      <w:r>
        <w:rPr>
          <w:rFonts w:hint="eastAsia" w:ascii="宋体" w:hAnsi="宋体" w:cs="宋体"/>
          <w:szCs w:val="21"/>
          <w:highlight w:val="none"/>
        </w:rPr>
        <w:t>质量保证金的扣留</w:t>
      </w:r>
      <w:bookmarkEnd w:id="723"/>
      <w:bookmarkEnd w:id="724"/>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质量保证金的扣留采取以下第</w:t>
      </w:r>
      <w:r>
        <w:rPr>
          <w:rFonts w:hint="eastAsia" w:ascii="宋体" w:hAnsi="宋体" w:cs="宋体"/>
          <w:szCs w:val="21"/>
          <w:highlight w:val="none"/>
          <w:u w:val="single"/>
        </w:rPr>
        <w:t xml:space="preserve"> 2  </w:t>
      </w:r>
      <w:r>
        <w:rPr>
          <w:rFonts w:hint="eastAsia" w:ascii="宋体" w:hAnsi="宋体" w:cs="宋体"/>
          <w:szCs w:val="21"/>
          <w:highlight w:val="none"/>
        </w:rPr>
        <w:t>种方式：</w:t>
      </w:r>
    </w:p>
    <w:p>
      <w:pPr>
        <w:keepNext w:val="0"/>
        <w:keepLines w:val="0"/>
        <w:pageBreakBefore w:val="0"/>
        <w:shd w:val="clear" w:fill="auto"/>
        <w:kinsoku/>
        <w:wordWrap/>
        <w:overflowPunct/>
        <w:topLinePunct w:val="0"/>
        <w:autoSpaceDE w:val="0"/>
        <w:autoSpaceDN w:val="0"/>
        <w:bidi w:val="0"/>
        <w:adjustRightInd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（1）在支付工程进度款时逐次扣留，在此情形下，质量保证金的计算基数不包括预付款的支付、扣回以及价格调整的金额；</w:t>
      </w:r>
    </w:p>
    <w:p>
      <w:pPr>
        <w:keepNext w:val="0"/>
        <w:keepLines w:val="0"/>
        <w:pageBreakBefore w:val="0"/>
        <w:shd w:val="clear" w:fill="auto"/>
        <w:kinsoku/>
        <w:wordWrap/>
        <w:overflowPunct/>
        <w:topLinePunct w:val="0"/>
        <w:autoSpaceDE w:val="0"/>
        <w:autoSpaceDN w:val="0"/>
        <w:bidi w:val="0"/>
        <w:adjustRightInd w:val="0"/>
        <w:snapToGrid/>
        <w:spacing w:line="420" w:lineRule="exact"/>
        <w:ind w:left="0" w:leftChars="0" w:firstLine="420" w:firstLineChars="200"/>
        <w:jc w:val="left"/>
        <w:textAlignment w:val="auto"/>
        <w:outlineLvl w:val="9"/>
        <w:rPr>
          <w:rFonts w:ascii="宋体" w:hAnsi="宋体" w:cs="宋体"/>
          <w:kern w:val="0"/>
          <w:szCs w:val="21"/>
          <w:highlight w:val="none"/>
        </w:rPr>
      </w:pPr>
      <w:bookmarkStart w:id="725" w:name="_Toc512676407"/>
      <w:bookmarkStart w:id="726" w:name="_Toc5447"/>
      <w:r>
        <w:rPr>
          <w:rFonts w:hint="eastAsia" w:ascii="宋体" w:hAnsi="宋体" w:cs="宋体"/>
          <w:kern w:val="0"/>
          <w:szCs w:val="21"/>
          <w:highlight w:val="none"/>
        </w:rPr>
        <w:t>（2）工程竣工结算时一次性扣留质量保证金；</w:t>
      </w:r>
      <w:bookmarkEnd w:id="725"/>
      <w:bookmarkEnd w:id="726"/>
    </w:p>
    <w:p>
      <w:pPr>
        <w:keepNext w:val="0"/>
        <w:keepLines w:val="0"/>
        <w:pageBreakBefore w:val="0"/>
        <w:shd w:val="clear" w:fill="auto"/>
        <w:kinsoku/>
        <w:wordWrap/>
        <w:overflowPunct/>
        <w:topLinePunct w:val="0"/>
        <w:autoSpaceDE w:val="0"/>
        <w:autoSpaceDN w:val="0"/>
        <w:bidi w:val="0"/>
        <w:adjustRightInd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（3）其他扣留方式:</w:t>
      </w:r>
      <w:r>
        <w:rPr>
          <w:rFonts w:hint="eastAsia" w:ascii="宋体" w:hAnsi="宋体" w:cs="宋体"/>
          <w:kern w:val="0"/>
          <w:szCs w:val="21"/>
          <w:highlight w:val="none"/>
          <w:u w:val="single"/>
        </w:rPr>
        <w:t xml:space="preserve">          /          </w:t>
      </w:r>
      <w:r>
        <w:rPr>
          <w:rFonts w:hint="eastAsia" w:ascii="宋体" w:hAnsi="宋体" w:cs="宋体"/>
          <w:kern w:val="0"/>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u w:val="single"/>
        </w:rPr>
      </w:pPr>
      <w:r>
        <w:rPr>
          <w:rFonts w:hint="eastAsia" w:ascii="宋体" w:hAnsi="宋体" w:cs="宋体"/>
          <w:szCs w:val="21"/>
          <w:highlight w:val="none"/>
        </w:rPr>
        <w:t>关于质量保证金的补充约定：</w:t>
      </w:r>
      <w:r>
        <w:rPr>
          <w:rFonts w:hint="eastAsia" w:ascii="宋体" w:hAnsi="宋体" w:cs="宋体"/>
          <w:kern w:val="0"/>
          <w:szCs w:val="21"/>
          <w:highlight w:val="none"/>
          <w:u w:val="single"/>
        </w:rPr>
        <w:t xml:space="preserve">  质量保证金不计利息，在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在约定的缺陷责任期满时，承包人没有完成缺陷责任的，发包人有权扣留与未履行责任剩余工作所需金额相应的质量保证金余额，并有权根据约定要求延长缺陷责任期，直至完成剩余工作为止。</w:t>
      </w:r>
    </w:p>
    <w:p>
      <w:pPr>
        <w:keepNext w:val="0"/>
        <w:keepLines w:val="0"/>
        <w:pageBreakBefore w:val="0"/>
        <w:shd w:val="clear" w:fill="auto"/>
        <w:kinsoku/>
        <w:wordWrap/>
        <w:overflowPunct/>
        <w:topLinePunct w:val="0"/>
        <w:bidi w:val="0"/>
        <w:snapToGrid/>
        <w:spacing w:line="420" w:lineRule="exact"/>
        <w:ind w:left="0" w:leftChars="0"/>
        <w:jc w:val="left"/>
        <w:textAlignment w:val="auto"/>
        <w:outlineLvl w:val="9"/>
        <w:rPr>
          <w:rFonts w:ascii="宋体" w:hAnsi="宋体" w:cs="宋体"/>
          <w:szCs w:val="21"/>
          <w:highlight w:val="none"/>
        </w:rPr>
      </w:pPr>
      <w:r>
        <w:rPr>
          <w:rFonts w:hint="eastAsia" w:ascii="宋体" w:hAnsi="宋体" w:cs="宋体"/>
          <w:kern w:val="0"/>
          <w:szCs w:val="21"/>
          <w:highlight w:val="none"/>
          <w:u w:val="single"/>
        </w:rPr>
        <w:t>进一步约定如下：发包人在扣留与未履行责任剩余工作所需金额相应的质量保证金余额不影响发包人要求承包人承担通用合同条款约定的其他违约责任的权利</w:t>
      </w:r>
      <w:r>
        <w:rPr>
          <w:rFonts w:hint="eastAsia" w:ascii="宋体" w:hAnsi="宋体" w:cs="宋体"/>
          <w:kern w:val="0"/>
          <w:szCs w:val="21"/>
          <w:highlight w:val="none"/>
        </w:rPr>
        <w:t>。</w:t>
      </w:r>
    </w:p>
    <w:p>
      <w:pPr>
        <w:keepNext w:val="0"/>
        <w:keepLines w:val="0"/>
        <w:pageBreakBefore w:val="0"/>
        <w:shd w:val="clear" w:fill="auto"/>
        <w:kinsoku/>
        <w:wordWrap/>
        <w:overflowPunct/>
        <w:topLinePunct w:val="0"/>
        <w:bidi w:val="0"/>
        <w:snapToGrid/>
        <w:spacing w:line="420" w:lineRule="exact"/>
        <w:ind w:left="0" w:leftChars="0"/>
        <w:jc w:val="left"/>
        <w:textAlignment w:val="auto"/>
        <w:outlineLvl w:val="9"/>
        <w:rPr>
          <w:rFonts w:ascii="宋体" w:hAnsi="宋体" w:cs="宋体"/>
          <w:szCs w:val="21"/>
          <w:highlight w:val="none"/>
        </w:rPr>
      </w:pPr>
      <w:r>
        <w:rPr>
          <w:rFonts w:hint="eastAsia" w:ascii="宋体" w:hAnsi="宋体" w:cs="宋体"/>
          <w:szCs w:val="21"/>
          <w:highlight w:val="none"/>
        </w:rPr>
        <w:t>17.5竣工结算</w:t>
      </w:r>
      <w:bookmarkEnd w:id="718"/>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17.5.1竣工付款申请单</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承包人提交竣工付款申请单的期限：</w:t>
      </w:r>
      <w:r>
        <w:rPr>
          <w:rFonts w:hint="eastAsia" w:ascii="宋体" w:hAnsi="宋体" w:cs="宋体"/>
          <w:szCs w:val="21"/>
          <w:highlight w:val="none"/>
          <w:u w:val="single"/>
        </w:rPr>
        <w:t>工程接收证书颁发后，承包人应按专用合同条款约定的份数和期限向监理人提交竣工付款申请单，并提供相关证明材料</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竣工结算申请单应包括的内容：</w:t>
      </w:r>
      <w:r>
        <w:rPr>
          <w:rFonts w:hint="eastAsia" w:ascii="宋体" w:hAnsi="宋体" w:cs="宋体"/>
          <w:szCs w:val="21"/>
          <w:highlight w:val="none"/>
          <w:u w:val="single"/>
        </w:rPr>
        <w:t>竣工结算合同总价、发包人已支付承包人的工程价款、应扣留的质量保证金、应支付的竣工付款金额</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发包人审批竣工付款申请单的期限：</w:t>
      </w:r>
      <w:r>
        <w:rPr>
          <w:rFonts w:hint="eastAsia" w:ascii="宋体" w:hAnsi="宋体" w:cs="宋体"/>
          <w:szCs w:val="21"/>
          <w:highlight w:val="none"/>
          <w:u w:val="single"/>
        </w:rPr>
        <w:t>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发包人完成竣工付款的期限：</w:t>
      </w:r>
      <w:r>
        <w:rPr>
          <w:rFonts w:hint="eastAsia" w:ascii="宋体" w:hAnsi="宋体" w:cs="宋体"/>
          <w:szCs w:val="21"/>
          <w:highlight w:val="none"/>
          <w:u w:val="single"/>
        </w:rPr>
        <w:t>发包人应在监理人出具竣工付款证书后的14天内，将应支付款支付给承包人</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关于竣工付款证书异议部分复核的方式和程序：</w:t>
      </w:r>
      <w:r>
        <w:rPr>
          <w:rFonts w:hint="eastAsia" w:ascii="宋体" w:hAnsi="宋体" w:cs="宋体"/>
          <w:szCs w:val="21"/>
          <w:highlight w:val="none"/>
          <w:u w:val="single"/>
        </w:rPr>
        <w:t xml:space="preserve"> 按通用条款执行</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jc w:val="left"/>
        <w:textAlignment w:val="auto"/>
        <w:outlineLvl w:val="9"/>
        <w:rPr>
          <w:rFonts w:ascii="宋体" w:hAnsi="宋体" w:cs="宋体"/>
          <w:szCs w:val="21"/>
          <w:highlight w:val="none"/>
        </w:rPr>
      </w:pPr>
      <w:r>
        <w:rPr>
          <w:rFonts w:hint="eastAsia" w:ascii="宋体" w:hAnsi="宋体" w:cs="宋体"/>
          <w:szCs w:val="21"/>
          <w:highlight w:val="none"/>
        </w:rPr>
        <w:t>17.6最终结清</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17.6.1 最终结清申请单</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承包人提交最终结清申请单的份数：</w:t>
      </w:r>
      <w:r>
        <w:rPr>
          <w:rFonts w:hint="eastAsia" w:ascii="宋体" w:hAnsi="宋体" w:cs="宋体"/>
          <w:szCs w:val="21"/>
          <w:highlight w:val="none"/>
          <w:u w:val="single"/>
        </w:rPr>
        <w:t xml:space="preserve">一式六份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kern w:val="0"/>
          <w:szCs w:val="21"/>
          <w:highlight w:val="none"/>
        </w:rPr>
        <w:t>承包人提交最终结算申请单的期限：</w:t>
      </w:r>
      <w:r>
        <w:rPr>
          <w:rFonts w:hint="eastAsia" w:ascii="宋体" w:hAnsi="宋体" w:cs="宋体"/>
          <w:szCs w:val="21"/>
          <w:highlight w:val="none"/>
          <w:u w:val="single"/>
        </w:rPr>
        <w:t>缺陷责任期终止证书签发后，承包人可按专用合同条款约定的份数和期限向监理人提交最终结清申请单，并提供相关证明材料</w:t>
      </w:r>
      <w:r>
        <w:rPr>
          <w:rFonts w:hint="eastAsia" w:ascii="宋体" w:hAnsi="宋体" w:cs="宋体"/>
          <w:szCs w:val="21"/>
          <w:highlight w:val="none"/>
        </w:rPr>
        <w:t xml:space="preserve">。 </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17.6.2 最终结清证书和支付时间</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rPr>
        <w:t>（1）发包人完成最终结清申请单的审批并颁发最终结清证书的期限：</w:t>
      </w:r>
      <w:r>
        <w:rPr>
          <w:rFonts w:hint="eastAsia" w:ascii="宋体" w:hAnsi="宋体" w:cs="宋体"/>
          <w:szCs w:val="21"/>
          <w:highlight w:val="none"/>
          <w:u w:val="single"/>
        </w:rPr>
        <w:t xml:space="preserve">  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（2）发包人完成支付的期限：</w:t>
      </w:r>
      <w:r>
        <w:rPr>
          <w:rFonts w:hint="eastAsia" w:ascii="宋体" w:hAnsi="宋体" w:cs="宋体"/>
          <w:szCs w:val="21"/>
          <w:highlight w:val="none"/>
          <w:u w:val="single"/>
        </w:rPr>
        <w:t xml:space="preserve">发包人应在监理人出具最终结清证书后的14天内，将应支付款支付给承包人 </w:t>
      </w:r>
      <w:r>
        <w:rPr>
          <w:rFonts w:hint="eastAsia" w:ascii="宋体" w:hAnsi="宋体" w:cs="宋体"/>
          <w:szCs w:val="21"/>
          <w:highlight w:val="none"/>
        </w:rPr>
        <w:t>。</w:t>
      </w:r>
    </w:p>
    <w:bookmarkEnd w:id="555"/>
    <w:p>
      <w:pPr>
        <w:keepNext w:val="0"/>
        <w:keepLines w:val="0"/>
        <w:pageBreakBefore w:val="0"/>
        <w:shd w:val="clear" w:fill="auto"/>
        <w:kinsoku/>
        <w:wordWrap/>
        <w:overflowPunct/>
        <w:topLinePunct w:val="0"/>
        <w:bidi w:val="0"/>
        <w:snapToGrid/>
        <w:spacing w:line="420" w:lineRule="exact"/>
        <w:ind w:left="0" w:leftChars="0"/>
        <w:textAlignment w:val="auto"/>
        <w:outlineLvl w:val="9"/>
        <w:rPr>
          <w:rFonts w:ascii="宋体" w:hAnsi="宋体" w:cs="宋体"/>
          <w:szCs w:val="21"/>
          <w:highlight w:val="none"/>
        </w:rPr>
      </w:pPr>
      <w:bookmarkStart w:id="727" w:name="_Toc2713"/>
      <w:bookmarkStart w:id="728" w:name="_Toc297216223"/>
      <w:bookmarkStart w:id="729" w:name="_Toc296346720"/>
      <w:bookmarkStart w:id="730" w:name="_Toc296891259"/>
      <w:bookmarkStart w:id="731" w:name="_Toc300935015"/>
      <w:bookmarkStart w:id="732" w:name="_Toc304295593"/>
      <w:bookmarkStart w:id="733" w:name="_Toc312678053"/>
      <w:bookmarkStart w:id="734" w:name="_Toc292559424"/>
      <w:bookmarkStart w:id="735" w:name="_Toc297123564"/>
      <w:bookmarkStart w:id="736" w:name="_Toc296944558"/>
      <w:bookmarkStart w:id="737" w:name="_Toc297120519"/>
      <w:bookmarkStart w:id="738" w:name="_Toc292559929"/>
      <w:bookmarkStart w:id="739" w:name="_Toc303539172"/>
      <w:bookmarkStart w:id="740" w:name="_Toc296347218"/>
      <w:bookmarkStart w:id="741" w:name="_Toc297048405"/>
      <w:bookmarkStart w:id="742" w:name="_Toc296503219"/>
      <w:bookmarkStart w:id="743" w:name="_Toc296891047"/>
      <w:r>
        <w:rPr>
          <w:rFonts w:hint="eastAsia" w:ascii="宋体" w:hAnsi="宋体" w:cs="宋体"/>
          <w:szCs w:val="21"/>
          <w:highlight w:val="none"/>
        </w:rPr>
        <w:t>18.</w:t>
      </w:r>
      <w:bookmarkEnd w:id="727"/>
      <w:r>
        <w:rPr>
          <w:rFonts w:hint="eastAsia" w:ascii="宋体" w:hAnsi="宋体" w:cs="宋体"/>
          <w:szCs w:val="21"/>
          <w:highlight w:val="none"/>
        </w:rPr>
        <w:t>竣工验收</w:t>
      </w:r>
    </w:p>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18.3.7分部分项工程验收</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监理人不能按时进行验收时，应提前</w:t>
      </w:r>
      <w:r>
        <w:rPr>
          <w:rFonts w:hint="eastAsia" w:ascii="宋体" w:hAnsi="宋体" w:cs="宋体"/>
          <w:szCs w:val="21"/>
          <w:highlight w:val="none"/>
          <w:u w:val="single"/>
        </w:rPr>
        <w:t xml:space="preserve">  24 </w:t>
      </w:r>
      <w:r>
        <w:rPr>
          <w:rFonts w:hint="eastAsia" w:ascii="宋体" w:hAnsi="宋体" w:cs="宋体"/>
          <w:szCs w:val="21"/>
          <w:highlight w:val="none"/>
        </w:rPr>
        <w:t>小时提交书面延期要求。</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b/>
          <w:szCs w:val="21"/>
          <w:highlight w:val="none"/>
        </w:rPr>
      </w:pPr>
      <w:r>
        <w:rPr>
          <w:rFonts w:hint="eastAsia" w:ascii="宋体" w:hAnsi="宋体" w:cs="宋体"/>
          <w:szCs w:val="21"/>
          <w:highlight w:val="none"/>
        </w:rPr>
        <w:t>关于延期最长不得超过：</w:t>
      </w:r>
      <w:r>
        <w:rPr>
          <w:rFonts w:hint="eastAsia" w:ascii="宋体" w:hAnsi="宋体" w:cs="宋体"/>
          <w:szCs w:val="21"/>
          <w:highlight w:val="none"/>
          <w:u w:val="single"/>
        </w:rPr>
        <w:t xml:space="preserve">   24  </w:t>
      </w:r>
      <w:r>
        <w:rPr>
          <w:rFonts w:hint="eastAsia" w:ascii="宋体" w:hAnsi="宋体" w:cs="宋体"/>
          <w:szCs w:val="21"/>
          <w:highlight w:val="none"/>
        </w:rPr>
        <w:t>小时。</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bookmarkStart w:id="744" w:name="_Toc152045729"/>
      <w:bookmarkStart w:id="745" w:name="_Toc179632747"/>
      <w:bookmarkStart w:id="746" w:name="_Toc152042508"/>
      <w:bookmarkStart w:id="747" w:name="_Toc144974700"/>
      <w:bookmarkStart w:id="748" w:name="_Toc296503223"/>
      <w:bookmarkStart w:id="749" w:name="_Toc297123565"/>
      <w:bookmarkStart w:id="750" w:name="_Toc292559933"/>
      <w:bookmarkStart w:id="751" w:name="_Toc296944562"/>
      <w:bookmarkStart w:id="752" w:name="_Toc300935016"/>
      <w:bookmarkStart w:id="753" w:name="_Toc297120523"/>
      <w:bookmarkStart w:id="754" w:name="_Toc304295596"/>
      <w:bookmarkStart w:id="755" w:name="_Toc297048409"/>
      <w:bookmarkStart w:id="756" w:name="_Toc303539173"/>
      <w:bookmarkStart w:id="757" w:name="_Toc296347222"/>
      <w:bookmarkStart w:id="758" w:name="_Toc292559428"/>
      <w:bookmarkStart w:id="759" w:name="_Toc296346724"/>
      <w:bookmarkStart w:id="760" w:name="_Toc296891051"/>
      <w:bookmarkStart w:id="761" w:name="_Toc312678056"/>
      <w:bookmarkStart w:id="762" w:name="_Toc296891263"/>
      <w:bookmarkStart w:id="763" w:name="_Toc297216224"/>
      <w:bookmarkStart w:id="764" w:name="_Toc267251475"/>
      <w:bookmarkStart w:id="765" w:name="_Toc267251472"/>
      <w:bookmarkStart w:id="766" w:name="_Toc267251474"/>
      <w:bookmarkStart w:id="767" w:name="_Toc267251470"/>
      <w:bookmarkStart w:id="768" w:name="_Toc267251476"/>
      <w:bookmarkStart w:id="769" w:name="_Toc267251473"/>
      <w:bookmarkStart w:id="770" w:name="_Toc267251471"/>
      <w:r>
        <w:rPr>
          <w:rFonts w:hint="eastAsia" w:ascii="宋体" w:hAnsi="宋体" w:cs="宋体"/>
          <w:szCs w:val="21"/>
          <w:highlight w:val="none"/>
        </w:rPr>
        <w:t xml:space="preserve">18.4 </w:t>
      </w:r>
      <w:bookmarkEnd w:id="744"/>
      <w:bookmarkEnd w:id="745"/>
      <w:bookmarkEnd w:id="746"/>
      <w:bookmarkEnd w:id="747"/>
      <w:r>
        <w:rPr>
          <w:rFonts w:hint="eastAsia" w:ascii="宋体" w:hAnsi="宋体" w:cs="宋体"/>
          <w:szCs w:val="21"/>
          <w:highlight w:val="none"/>
        </w:rPr>
        <w:t>竣工验收申请报告</w:t>
      </w:r>
    </w:p>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bookmarkStart w:id="771" w:name="_Toc280868705"/>
      <w:bookmarkStart w:id="772" w:name="_Toc280868706"/>
      <w:bookmarkStart w:id="773" w:name="_Toc280868707"/>
      <w:bookmarkStart w:id="774" w:name="_Toc280868708"/>
      <w:bookmarkStart w:id="775" w:name="_Toc280868709"/>
      <w:r>
        <w:rPr>
          <w:rFonts w:hint="eastAsia" w:ascii="宋体" w:hAnsi="宋体" w:cs="宋体"/>
          <w:kern w:val="0"/>
          <w:szCs w:val="21"/>
          <w:highlight w:val="none"/>
        </w:rPr>
        <w:t>18.4.1关于竣工验收程序的约定：</w:t>
      </w:r>
      <w:r>
        <w:rPr>
          <w:rFonts w:hint="eastAsia" w:ascii="宋体" w:hAnsi="宋体" w:cs="宋体"/>
          <w:szCs w:val="21"/>
          <w:highlight w:val="none"/>
          <w:u w:val="single"/>
        </w:rPr>
        <w:t xml:space="preserve">监理人收到承包人提交的竣工验收申请报告后，应审查申请报告的各项内容，并按以下不同情况进行处理。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审查后认为已具备竣工验收条件的，应在收到竣工验收申请报告后的28天内提请发包人进行工程验收。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专用合同条款另有约定外，经验收合格的工程，实际竣工日期为承包人提交竣工验收申请报告或按照本款重新提交竣工验收申请报告的日期(以两者中时间在后者为准) 并在工程接收证书中写明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bookmarkStart w:id="776" w:name="_Hlk121599900"/>
      <w:r>
        <w:rPr>
          <w:rFonts w:hint="eastAsia" w:ascii="宋体" w:hAnsi="宋体" w:cs="宋体"/>
          <w:szCs w:val="21"/>
          <w:highlight w:val="none"/>
        </w:rPr>
        <w:t>18.4.2进一步约定如下：</w:t>
      </w:r>
      <w:r>
        <w:rPr>
          <w:rFonts w:hint="eastAsia" w:ascii="宋体" w:hAnsi="宋体" w:cs="宋体"/>
          <w:szCs w:val="21"/>
          <w:highlight w:val="none"/>
          <w:u w:val="single"/>
        </w:rPr>
        <w:t>监理人向承包人出具经发包人签认的竣工验收申请证书。发包人在收到承包人竣工验收申请报告56天内未进行验收的（以项目批准单位的验收作为最终验收），视为验收合格，实际竣工日期以提交竣工验收申请报告的日期为准，但发包人由于不可抗力不能进行验收的除外。</w:t>
      </w:r>
    </w:p>
    <w:bookmarkEnd w:id="776"/>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kern w:val="0"/>
          <w:szCs w:val="21"/>
          <w:highlight w:val="none"/>
        </w:rPr>
        <w:t>发包人不按照本项约定组织竣工验收、颁发工程接收证书的违约金的计算方法：</w:t>
      </w:r>
      <w:r>
        <w:rPr>
          <w:rFonts w:hint="eastAsia" w:ascii="宋体" w:hAnsi="宋体" w:cs="宋体"/>
          <w:szCs w:val="21"/>
          <w:highlight w:val="none"/>
          <w:u w:val="single"/>
        </w:rPr>
        <w:t xml:space="preserve">   / </w:t>
      </w:r>
      <w:r>
        <w:rPr>
          <w:rFonts w:hint="eastAsia" w:ascii="宋体" w:hAnsi="宋体" w:cs="宋体"/>
          <w:szCs w:val="21"/>
          <w:highlight w:val="none"/>
        </w:rPr>
        <w:t>。</w:t>
      </w:r>
    </w:p>
    <w:bookmarkEnd w:id="771"/>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18.4.3移交、接收全部与部分工程</w:t>
      </w:r>
    </w:p>
    <w:bookmarkEnd w:id="772"/>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承包人向发包人移交工程的期限：</w:t>
      </w:r>
      <w:r>
        <w:rPr>
          <w:rFonts w:hint="eastAsia" w:ascii="宋体" w:hAnsi="宋体" w:cs="宋体"/>
          <w:szCs w:val="21"/>
          <w:highlight w:val="none"/>
          <w:u w:val="single"/>
        </w:rPr>
        <w:t>颁发工程接收证书后7天内完成工程的移交</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kern w:val="0"/>
          <w:szCs w:val="21"/>
          <w:highlight w:val="none"/>
        </w:rPr>
        <w:t>发包人未按本合同约定接收全部或部分工程的，违约金的计算方法为：</w:t>
      </w:r>
      <w:r>
        <w:rPr>
          <w:rFonts w:hint="eastAsia" w:ascii="宋体" w:hAnsi="宋体" w:cs="宋体"/>
          <w:szCs w:val="21"/>
          <w:highlight w:val="none"/>
          <w:u w:val="single"/>
        </w:rPr>
        <w:t xml:space="preserve">     /     </w:t>
      </w:r>
      <w:r>
        <w:rPr>
          <w:rFonts w:hint="eastAsia" w:ascii="宋体" w:hAnsi="宋体" w:cs="宋体"/>
          <w:szCs w:val="21"/>
          <w:highlight w:val="none"/>
        </w:rPr>
        <w:t>。</w:t>
      </w:r>
    </w:p>
    <w:bookmarkEnd w:id="773"/>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承包人未按时移交工程的，违约金的计算方法为：</w:t>
      </w:r>
      <w:r>
        <w:rPr>
          <w:rFonts w:hint="eastAsia" w:ascii="宋体" w:hAnsi="宋体" w:cs="宋体"/>
          <w:szCs w:val="21"/>
          <w:highlight w:val="none"/>
          <w:u w:val="single"/>
        </w:rPr>
        <w:t xml:space="preserve">   由承包人向发包人按合同总造价的5%支付违约金  </w:t>
      </w:r>
      <w:r>
        <w:rPr>
          <w:rFonts w:hint="eastAsia" w:ascii="宋体" w:hAnsi="宋体" w:cs="宋体"/>
          <w:szCs w:val="21"/>
          <w:highlight w:val="none"/>
        </w:rPr>
        <w:t>。</w:t>
      </w:r>
    </w:p>
    <w:bookmarkEnd w:id="774"/>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bookmarkStart w:id="777" w:name="_Toc144974703"/>
      <w:bookmarkStart w:id="778" w:name="_Toc152042511"/>
      <w:bookmarkStart w:id="779" w:name="_Toc179632750"/>
      <w:bookmarkStart w:id="780" w:name="_Toc152045732"/>
      <w:r>
        <w:rPr>
          <w:rFonts w:hint="eastAsia" w:ascii="宋体" w:hAnsi="宋体" w:cs="宋体"/>
          <w:szCs w:val="21"/>
          <w:highlight w:val="none"/>
        </w:rPr>
        <w:t>18.7 竣工清场</w:t>
      </w:r>
      <w:bookmarkEnd w:id="777"/>
      <w:bookmarkEnd w:id="778"/>
      <w:bookmarkEnd w:id="779"/>
      <w:bookmarkEnd w:id="780"/>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18.7.1承包人完成竣工清场的期限：</w:t>
      </w:r>
      <w:r>
        <w:rPr>
          <w:rFonts w:hint="eastAsia" w:ascii="宋体" w:hAnsi="宋体" w:cs="宋体"/>
          <w:szCs w:val="21"/>
          <w:highlight w:val="none"/>
          <w:u w:val="single"/>
        </w:rPr>
        <w:t xml:space="preserve"> 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 </w:t>
      </w:r>
      <w:r>
        <w:rPr>
          <w:rFonts w:hint="eastAsia" w:ascii="宋体" w:hAnsi="宋体" w:cs="宋体"/>
          <w:kern w:val="0"/>
          <w:szCs w:val="21"/>
          <w:highlight w:val="none"/>
        </w:rPr>
        <w:t>。</w:t>
      </w:r>
    </w:p>
    <w:bookmarkEnd w:id="764"/>
    <w:bookmarkEnd w:id="765"/>
    <w:bookmarkEnd w:id="766"/>
    <w:bookmarkEnd w:id="767"/>
    <w:bookmarkEnd w:id="768"/>
    <w:bookmarkEnd w:id="769"/>
    <w:bookmarkEnd w:id="770"/>
    <w:bookmarkEnd w:id="775"/>
    <w:p>
      <w:pPr>
        <w:keepNext w:val="0"/>
        <w:keepLines w:val="0"/>
        <w:pageBreakBefore w:val="0"/>
        <w:shd w:val="clear" w:fill="auto"/>
        <w:kinsoku/>
        <w:wordWrap/>
        <w:overflowPunct/>
        <w:topLinePunct w:val="0"/>
        <w:bidi w:val="0"/>
        <w:snapToGrid/>
        <w:spacing w:line="420" w:lineRule="exact"/>
        <w:ind w:left="0" w:leftChars="0"/>
        <w:jc w:val="left"/>
        <w:textAlignment w:val="auto"/>
        <w:outlineLvl w:val="9"/>
        <w:rPr>
          <w:rFonts w:ascii="宋体" w:hAnsi="宋体" w:cs="宋体"/>
          <w:szCs w:val="21"/>
          <w:highlight w:val="none"/>
        </w:rPr>
      </w:pPr>
      <w:bookmarkStart w:id="781" w:name="_Toc267251483"/>
      <w:bookmarkStart w:id="782" w:name="_Toc267251482"/>
      <w:bookmarkStart w:id="783" w:name="_Toc267251485"/>
      <w:bookmarkStart w:id="784" w:name="_Toc267251484"/>
      <w:bookmarkStart w:id="785" w:name="_Toc267251486"/>
      <w:bookmarkStart w:id="786" w:name="_Toc267251489"/>
      <w:bookmarkStart w:id="787" w:name="_Toc267251490"/>
      <w:bookmarkStart w:id="788" w:name="_Toc267251488"/>
      <w:bookmarkStart w:id="789" w:name="_Toc267251494"/>
      <w:bookmarkStart w:id="790" w:name="_Toc267251498"/>
      <w:bookmarkStart w:id="791" w:name="_Toc267251493"/>
      <w:bookmarkStart w:id="792" w:name="_Toc267251491"/>
      <w:bookmarkStart w:id="793" w:name="_Toc267251497"/>
      <w:bookmarkStart w:id="794" w:name="_Toc267251499"/>
      <w:bookmarkStart w:id="795" w:name="_Toc267251492"/>
      <w:bookmarkStart w:id="796" w:name="_Toc267251502"/>
      <w:bookmarkStart w:id="797" w:name="_Toc267251496"/>
      <w:bookmarkStart w:id="798" w:name="_Toc267251501"/>
      <w:bookmarkStart w:id="799" w:name="_Toc267251503"/>
      <w:bookmarkStart w:id="800" w:name="_Toc267251495"/>
      <w:bookmarkStart w:id="801" w:name="_Toc267251506"/>
      <w:bookmarkStart w:id="802" w:name="_Toc267251504"/>
      <w:bookmarkStart w:id="803" w:name="_Toc267251507"/>
      <w:bookmarkStart w:id="804" w:name="_Toc267251508"/>
      <w:bookmarkStart w:id="805" w:name="_Toc267251513"/>
      <w:bookmarkStart w:id="806" w:name="_Toc267251511"/>
      <w:bookmarkStart w:id="807" w:name="_Toc267251509"/>
      <w:bookmarkStart w:id="808" w:name="_Toc267251510"/>
      <w:bookmarkStart w:id="809" w:name="_Toc267251515"/>
      <w:bookmarkStart w:id="810" w:name="_Toc267251514"/>
      <w:r>
        <w:rPr>
          <w:rFonts w:hint="eastAsia" w:ascii="宋体" w:hAnsi="宋体" w:cs="宋体"/>
          <w:szCs w:val="21"/>
          <w:highlight w:val="none"/>
        </w:rPr>
        <w:t>19. 缺陷责任与保修责任</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19.1</w:t>
      </w:r>
      <w:bookmarkEnd w:id="781"/>
      <w:r>
        <w:rPr>
          <w:rFonts w:hint="eastAsia" w:ascii="宋体" w:hAnsi="宋体"/>
          <w:szCs w:val="21"/>
          <w:highlight w:val="none"/>
        </w:rPr>
        <w:t>缺陷责任期的起算时间</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缺陷责任期的具体期限：</w:t>
      </w:r>
      <w:r>
        <w:rPr>
          <w:rFonts w:hint="eastAsia" w:ascii="宋体" w:hAnsi="宋体" w:cs="宋体"/>
          <w:szCs w:val="21"/>
          <w:highlight w:val="none"/>
          <w:u w:val="single"/>
        </w:rPr>
        <w:t xml:space="preserve"> 缺陷责任期自实际竣工日期起计算。在全部工程竣工验收前，已经发包人提前验收的单位工程，其缺陷责任期的起算日期相应提前。缺陷责任期为24个月   </w:t>
      </w:r>
      <w:r>
        <w:rPr>
          <w:rFonts w:hint="eastAsia" w:ascii="宋体" w:hAnsi="宋体" w:cs="宋体"/>
          <w:szCs w:val="21"/>
          <w:highlight w:val="none"/>
        </w:rPr>
        <w:t>。</w:t>
      </w:r>
    </w:p>
    <w:bookmarkEnd w:id="782"/>
    <w:bookmarkEnd w:id="783"/>
    <w:bookmarkEnd w:id="784"/>
    <w:p>
      <w:pPr>
        <w:keepNext w:val="0"/>
        <w:keepLines w:val="0"/>
        <w:pageBreakBefore w:val="0"/>
        <w:shd w:val="clear" w:fill="auto"/>
        <w:kinsoku/>
        <w:wordWrap/>
        <w:overflowPunct/>
        <w:topLinePunct w:val="0"/>
        <w:bidi w:val="0"/>
        <w:snapToGrid/>
        <w:spacing w:line="420" w:lineRule="exact"/>
        <w:ind w:left="0" w:leftChars="0" w:firstLine="409" w:firstLineChars="195"/>
        <w:jc w:val="left"/>
        <w:textAlignment w:val="auto"/>
        <w:outlineLvl w:val="9"/>
        <w:rPr>
          <w:rFonts w:ascii="宋体" w:hAnsi="宋体" w:cs="宋体"/>
          <w:szCs w:val="21"/>
          <w:highlight w:val="none"/>
        </w:rPr>
      </w:pPr>
      <w:r>
        <w:rPr>
          <w:rFonts w:hint="eastAsia" w:ascii="宋体" w:hAnsi="宋体" w:cs="宋体"/>
          <w:szCs w:val="21"/>
          <w:highlight w:val="none"/>
        </w:rPr>
        <w:t>19.7保修责任</w:t>
      </w:r>
    </w:p>
    <w:p>
      <w:pPr>
        <w:keepNext w:val="0"/>
        <w:keepLines w:val="0"/>
        <w:pageBreakBefore w:val="0"/>
        <w:shd w:val="clear" w:fill="auto"/>
        <w:kinsoku/>
        <w:wordWrap/>
        <w:overflowPunct/>
        <w:topLinePunct w:val="0"/>
        <w:bidi w:val="0"/>
        <w:snapToGrid/>
        <w:spacing w:line="420" w:lineRule="exact"/>
        <w:ind w:left="0" w:leftChars="0" w:firstLine="409" w:firstLineChars="195"/>
        <w:jc w:val="left"/>
        <w:textAlignment w:val="auto"/>
        <w:outlineLvl w:val="9"/>
        <w:rPr>
          <w:rFonts w:ascii="宋体" w:hAnsi="宋体" w:cs="宋体"/>
          <w:kern w:val="0"/>
          <w:szCs w:val="21"/>
          <w:highlight w:val="none"/>
          <w:u w:val="single"/>
        </w:rPr>
      </w:pPr>
      <w:r>
        <w:rPr>
          <w:rFonts w:hint="eastAsia" w:ascii="宋体" w:hAnsi="宋体" w:cs="宋体"/>
          <w:szCs w:val="21"/>
          <w:highlight w:val="none"/>
        </w:rPr>
        <w:t>工程保修期为：</w:t>
      </w:r>
      <w:r>
        <w:rPr>
          <w:rFonts w:hint="eastAsia" w:ascii="宋体" w:hAnsi="宋体" w:cs="宋体"/>
          <w:kern w:val="0"/>
          <w:szCs w:val="21"/>
          <w:highlight w:val="none"/>
          <w:u w:val="single"/>
        </w:rPr>
        <w:t xml:space="preserve"> 见《工程质量保修书》。</w:t>
      </w:r>
    </w:p>
    <w:p>
      <w:pPr>
        <w:keepNext w:val="0"/>
        <w:keepLines w:val="0"/>
        <w:pageBreakBefore w:val="0"/>
        <w:shd w:val="clear" w:fill="auto"/>
        <w:kinsoku/>
        <w:wordWrap/>
        <w:overflowPunct/>
        <w:topLinePunct w:val="0"/>
        <w:bidi w:val="0"/>
        <w:snapToGrid/>
        <w:spacing w:line="420" w:lineRule="exact"/>
        <w:ind w:left="0" w:leftChars="0" w:firstLine="409" w:firstLineChars="195"/>
        <w:jc w:val="left"/>
        <w:textAlignment w:val="auto"/>
        <w:outlineLvl w:val="9"/>
        <w:rPr>
          <w:rFonts w:ascii="宋体" w:hAnsi="宋体" w:cs="宋体"/>
          <w:szCs w:val="21"/>
          <w:highlight w:val="none"/>
        </w:rPr>
      </w:pPr>
      <w:r>
        <w:rPr>
          <w:rFonts w:hint="eastAsia" w:ascii="宋体" w:hAnsi="宋体" w:cs="宋体"/>
          <w:szCs w:val="21"/>
          <w:highlight w:val="none"/>
        </w:rPr>
        <w:t>修复通知</w:t>
      </w:r>
    </w:p>
    <w:p>
      <w:pPr>
        <w:keepNext w:val="0"/>
        <w:keepLines w:val="0"/>
        <w:pageBreakBefore w:val="0"/>
        <w:shd w:val="clear" w:fill="auto"/>
        <w:kinsoku/>
        <w:wordWrap/>
        <w:overflowPunct/>
        <w:topLinePunct w:val="0"/>
        <w:bidi w:val="0"/>
        <w:snapToGrid/>
        <w:spacing w:line="420" w:lineRule="exact"/>
        <w:ind w:left="0" w:leftChars="0" w:firstLine="409" w:firstLineChars="195"/>
        <w:jc w:val="left"/>
        <w:textAlignment w:val="auto"/>
        <w:outlineLvl w:val="9"/>
        <w:rPr>
          <w:rFonts w:ascii="宋体" w:hAnsi="宋体" w:cs="宋体"/>
          <w:kern w:val="0"/>
          <w:szCs w:val="21"/>
          <w:highlight w:val="none"/>
        </w:rPr>
      </w:pPr>
      <w:r>
        <w:rPr>
          <w:rFonts w:hint="eastAsia" w:ascii="宋体" w:hAnsi="宋体" w:cs="宋体"/>
          <w:kern w:val="0"/>
          <w:szCs w:val="21"/>
          <w:highlight w:val="none"/>
        </w:rPr>
        <w:t>承包人收到保修通知并到达工程现场的合理时间：</w:t>
      </w:r>
      <w:r>
        <w:rPr>
          <w:rFonts w:hint="eastAsia" w:ascii="宋体" w:hAnsi="宋体" w:cs="宋体"/>
          <w:kern w:val="0"/>
          <w:szCs w:val="21"/>
          <w:highlight w:val="none"/>
          <w:u w:val="single"/>
        </w:rPr>
        <w:t xml:space="preserve">  2小时  </w:t>
      </w:r>
      <w:r>
        <w:rPr>
          <w:rFonts w:hint="eastAsia" w:ascii="宋体" w:hAnsi="宋体" w:cs="宋体"/>
          <w:kern w:val="0"/>
          <w:szCs w:val="21"/>
          <w:highlight w:val="none"/>
        </w:rPr>
        <w:t>。</w:t>
      </w:r>
    </w:p>
    <w:bookmarkEnd w:id="785"/>
    <w:bookmarkEnd w:id="786"/>
    <w:bookmarkEnd w:id="787"/>
    <w:bookmarkEnd w:id="788"/>
    <w:p>
      <w:pPr>
        <w:keepNext w:val="0"/>
        <w:keepLines w:val="0"/>
        <w:pageBreakBefore w:val="0"/>
        <w:shd w:val="clear" w:fill="auto"/>
        <w:kinsoku/>
        <w:wordWrap/>
        <w:overflowPunct/>
        <w:topLinePunct w:val="0"/>
        <w:bidi w:val="0"/>
        <w:snapToGrid/>
        <w:spacing w:line="420" w:lineRule="exact"/>
        <w:ind w:left="0" w:leftChars="0"/>
        <w:textAlignment w:val="auto"/>
        <w:outlineLvl w:val="9"/>
        <w:rPr>
          <w:rFonts w:ascii="宋体" w:hAnsi="宋体" w:cs="宋体"/>
          <w:szCs w:val="21"/>
          <w:highlight w:val="none"/>
        </w:rPr>
      </w:pPr>
      <w:bookmarkStart w:id="811" w:name="_Toc25909"/>
      <w:bookmarkStart w:id="812" w:name="_Toc31159"/>
      <w:bookmarkStart w:id="813" w:name="_Toc27437"/>
      <w:bookmarkStart w:id="814" w:name="_Toc280868718"/>
      <w:bookmarkStart w:id="815" w:name="_Toc280868717"/>
      <w:r>
        <w:rPr>
          <w:rFonts w:hint="eastAsia" w:ascii="宋体" w:hAnsi="宋体" w:cs="宋体"/>
          <w:szCs w:val="21"/>
          <w:highlight w:val="none"/>
        </w:rPr>
        <w:t>20.保险</w:t>
      </w:r>
      <w:bookmarkEnd w:id="811"/>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20.1 工程保险</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关于工程保险的特别约定：</w:t>
      </w:r>
      <w:r>
        <w:rPr>
          <w:rFonts w:hint="eastAsia" w:ascii="宋体" w:hAnsi="宋体" w:cs="宋体"/>
          <w:szCs w:val="21"/>
          <w:highlight w:val="none"/>
          <w:u w:val="single"/>
        </w:rPr>
        <w:t xml:space="preserve">建筑工程一切险和第三方责任险均由承包人办理并自己承担费用。 </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bookmarkStart w:id="816" w:name="_Toc149"/>
      <w:bookmarkStart w:id="817" w:name="_Toc512676411"/>
      <w:r>
        <w:rPr>
          <w:rFonts w:hint="eastAsia" w:ascii="宋体" w:hAnsi="宋体" w:cs="宋体"/>
          <w:szCs w:val="21"/>
          <w:highlight w:val="none"/>
        </w:rPr>
        <w:t>20.5其他保险</w:t>
      </w:r>
      <w:bookmarkEnd w:id="816"/>
      <w:bookmarkEnd w:id="817"/>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承包人办理工伤保险并承担费用，保险对象为承包人施工现场全部人员，发包人施工现场全部人员，为履行合同聘请的第三方施工现场全部人员。</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u w:val="single"/>
        </w:rPr>
      </w:pPr>
      <w:r>
        <w:rPr>
          <w:rFonts w:hint="eastAsia" w:ascii="宋体" w:hAnsi="宋体" w:cs="宋体"/>
          <w:szCs w:val="21"/>
          <w:highlight w:val="none"/>
          <w:u w:val="single"/>
        </w:rPr>
        <w:t>需要投保其他内容、保险金额、费率及期限等：承包人需按照相关政策、法规自行考虑，相关保险费由承包人承担 。</w:t>
      </w:r>
    </w:p>
    <w:p>
      <w:pPr>
        <w:keepNext w:val="0"/>
        <w:keepLines w:val="0"/>
        <w:pageBreakBefore w:val="0"/>
        <w:shd w:val="clear" w:fill="auto"/>
        <w:kinsoku/>
        <w:wordWrap/>
        <w:overflowPunct/>
        <w:topLinePunct w:val="0"/>
        <w:bidi w:val="0"/>
        <w:snapToGrid/>
        <w:spacing w:line="420" w:lineRule="exact"/>
        <w:ind w:left="0" w:leftChars="0"/>
        <w:textAlignment w:val="auto"/>
        <w:outlineLvl w:val="9"/>
        <w:rPr>
          <w:rFonts w:ascii="宋体" w:hAnsi="宋体" w:cs="宋体"/>
          <w:szCs w:val="21"/>
          <w:highlight w:val="none"/>
        </w:rPr>
      </w:pPr>
      <w:r>
        <w:rPr>
          <w:rFonts w:hint="eastAsia" w:ascii="宋体" w:hAnsi="宋体" w:cs="宋体"/>
          <w:kern w:val="0"/>
          <w:szCs w:val="21"/>
          <w:highlight w:val="none"/>
        </w:rPr>
        <w:t>20.6.2关于变更保险合同时的通知义务的约定：</w:t>
      </w:r>
      <w:r>
        <w:rPr>
          <w:rFonts w:hint="eastAsia" w:ascii="宋体" w:hAnsi="宋体" w:cs="宋体"/>
          <w:szCs w:val="21"/>
          <w:highlight w:val="none"/>
          <w:u w:val="single"/>
        </w:rPr>
        <w:t xml:space="preserve"> 按通用条款执行  </w:t>
      </w:r>
      <w:r>
        <w:rPr>
          <w:rFonts w:hint="eastAsia" w:ascii="宋体" w:hAnsi="宋体" w:cs="宋体"/>
          <w:szCs w:val="21"/>
          <w:highlight w:val="none"/>
        </w:rPr>
        <w:t>。</w:t>
      </w:r>
    </w:p>
    <w:p>
      <w:pPr>
        <w:keepNext w:val="0"/>
        <w:keepLines w:val="0"/>
        <w:pageBreakBefore w:val="0"/>
        <w:shd w:val="clear" w:fill="auto"/>
        <w:kinsoku/>
        <w:wordWrap/>
        <w:overflowPunct/>
        <w:topLinePunct w:val="0"/>
        <w:bidi w:val="0"/>
        <w:snapToGrid/>
        <w:spacing w:line="420" w:lineRule="exact"/>
        <w:ind w:left="0" w:leftChars="0"/>
        <w:textAlignment w:val="auto"/>
        <w:outlineLvl w:val="9"/>
        <w:rPr>
          <w:rFonts w:ascii="宋体" w:hAnsi="宋体" w:cs="宋体"/>
          <w:szCs w:val="21"/>
          <w:highlight w:val="none"/>
        </w:rPr>
      </w:pPr>
      <w:r>
        <w:rPr>
          <w:rFonts w:hint="eastAsia" w:ascii="宋体" w:hAnsi="宋体" w:cs="宋体"/>
          <w:szCs w:val="21"/>
          <w:highlight w:val="none"/>
        </w:rPr>
        <w:t>21.不可抗力</w:t>
      </w:r>
      <w:bookmarkEnd w:id="812"/>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bookmarkStart w:id="818" w:name="_Hlk121600232"/>
      <w:r>
        <w:rPr>
          <w:rFonts w:hint="eastAsia" w:ascii="宋体" w:hAnsi="宋体" w:cs="宋体"/>
          <w:szCs w:val="21"/>
          <w:highlight w:val="none"/>
        </w:rPr>
        <w:t>21.1不可抗力的确认</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u w:val="single"/>
        </w:rPr>
      </w:pPr>
      <w:r>
        <w:rPr>
          <w:rFonts w:hint="eastAsia" w:ascii="宋体" w:hAnsi="宋体" w:cs="宋体"/>
          <w:szCs w:val="21"/>
          <w:highlight w:val="none"/>
        </w:rPr>
        <w:t>除通用合同条款约定的不可抗力事件之外，视为不可抗力的其他情形：</w:t>
      </w:r>
      <w:bookmarkStart w:id="819" w:name="_Toc20031"/>
      <w:bookmarkStart w:id="820" w:name="_Toc512676410"/>
      <w:r>
        <w:rPr>
          <w:rFonts w:hint="eastAsia" w:ascii="宋体" w:hAnsi="宋体" w:cs="宋体"/>
          <w:kern w:val="0"/>
          <w:szCs w:val="21"/>
          <w:highlight w:val="none"/>
          <w:u w:val="single"/>
        </w:rPr>
        <w:t>(1)政府禁止令引起的社会性突发事件（比如：环境管控）；(2)导致工程暂停施工或医学观察需隔离的传染性疾。</w:t>
      </w:r>
    </w:p>
    <w:bookmarkEnd w:id="818"/>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21.3.4因不可抗力解除合同</w:t>
      </w:r>
      <w:bookmarkEnd w:id="819"/>
      <w:bookmarkEnd w:id="820"/>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合同解除后，发包人应在商定或确定发包人应支付款项后</w:t>
      </w:r>
      <w:r>
        <w:rPr>
          <w:rFonts w:hint="eastAsia" w:ascii="宋体" w:hAnsi="宋体" w:cs="宋体"/>
          <w:szCs w:val="21"/>
          <w:highlight w:val="none"/>
          <w:u w:val="single"/>
        </w:rPr>
        <w:t xml:space="preserve"> 60 </w:t>
      </w:r>
      <w:r>
        <w:rPr>
          <w:rFonts w:hint="eastAsia" w:ascii="宋体" w:hAnsi="宋体" w:cs="宋体"/>
          <w:szCs w:val="21"/>
          <w:highlight w:val="none"/>
        </w:rPr>
        <w:t>天内完成款项的支付。</w:t>
      </w:r>
    </w:p>
    <w:p>
      <w:pPr>
        <w:keepNext w:val="0"/>
        <w:keepLines w:val="0"/>
        <w:pageBreakBefore w:val="0"/>
        <w:shd w:val="clear" w:fill="auto"/>
        <w:kinsoku/>
        <w:wordWrap/>
        <w:overflowPunct/>
        <w:topLinePunct w:val="0"/>
        <w:bidi w:val="0"/>
        <w:snapToGrid/>
        <w:spacing w:line="420" w:lineRule="exact"/>
        <w:ind w:left="0" w:leftChars="0"/>
        <w:textAlignment w:val="auto"/>
        <w:outlineLvl w:val="9"/>
        <w:rPr>
          <w:rFonts w:ascii="宋体" w:hAnsi="宋体" w:cs="宋体"/>
          <w:szCs w:val="21"/>
          <w:highlight w:val="none"/>
        </w:rPr>
      </w:pPr>
      <w:r>
        <w:rPr>
          <w:rFonts w:hint="eastAsia" w:ascii="宋体" w:hAnsi="宋体" w:cs="宋体"/>
          <w:szCs w:val="21"/>
          <w:highlight w:val="none"/>
        </w:rPr>
        <w:t>22.违约</w:t>
      </w:r>
      <w:bookmarkEnd w:id="813"/>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bookmarkStart w:id="821" w:name="_Toc3438"/>
      <w:bookmarkStart w:id="822" w:name="_Toc512676409"/>
      <w:bookmarkStart w:id="823" w:name="_Toc14924"/>
      <w:bookmarkStart w:id="824" w:name="_Toc512676408"/>
      <w:r>
        <w:rPr>
          <w:rFonts w:hint="eastAsia" w:ascii="宋体" w:hAnsi="宋体" w:cs="宋体"/>
          <w:szCs w:val="21"/>
          <w:highlight w:val="none"/>
        </w:rPr>
        <w:t>22.1 承包人违约</w:t>
      </w:r>
      <w:bookmarkEnd w:id="821"/>
      <w:bookmarkEnd w:id="822"/>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22.1.1 承包人违约的情形</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u w:val="single"/>
        </w:rPr>
      </w:pPr>
      <w:r>
        <w:rPr>
          <w:rFonts w:hint="eastAsia" w:ascii="宋体" w:hAnsi="宋体" w:cs="宋体"/>
          <w:kern w:val="0"/>
          <w:szCs w:val="21"/>
          <w:highlight w:val="none"/>
        </w:rPr>
        <w:t>承包人违约的其他情形：</w:t>
      </w:r>
      <w:r>
        <w:rPr>
          <w:rFonts w:hint="eastAsia" w:ascii="宋体" w:hAnsi="宋体" w:cs="宋体"/>
          <w:kern w:val="0"/>
          <w:szCs w:val="21"/>
          <w:highlight w:val="none"/>
          <w:u w:val="single"/>
        </w:rPr>
        <w:t xml:space="preserve"> 1）承包人违反约定，私自将合同的全部或部分权利转让给其他人，或私自将合同的全部或部分义务转移给其他人；</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（2）承包人违反约定，未经监理人批准，私自将已按合同约定进入施工场地的施工设备、临时设施或材料撤离施工场地；</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（3）承包人违反约定使用了不合格材料或工程设备，工程质量达不到标准要求，又拒绝清除不合格工程；</w:t>
      </w:r>
    </w:p>
    <w:p>
      <w:pPr>
        <w:keepNext w:val="0"/>
        <w:keepLines w:val="0"/>
        <w:pageBreakBefore w:val="0"/>
        <w:shd w:val="clear" w:fill="auto"/>
        <w:kinsoku/>
        <w:wordWrap/>
        <w:overflowPunct/>
        <w:topLinePunct w:val="0"/>
        <w:bidi w:val="0"/>
        <w:adjustRightInd w:val="0"/>
        <w:snapToGrid/>
        <w:spacing w:line="420" w:lineRule="exact"/>
        <w:ind w:left="0" w:leftChars="0" w:firstLine="420" w:firstLineChars="200"/>
        <w:jc w:val="left"/>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（4）承包人未能按合同进度计划及时完成合同约定的工作，已造成或预期造成工期延误；</w:t>
      </w:r>
    </w:p>
    <w:p>
      <w:pPr>
        <w:keepNext w:val="0"/>
        <w:keepLines w:val="0"/>
        <w:pageBreakBefore w:val="0"/>
        <w:shd w:val="clear" w:fill="auto"/>
        <w:kinsoku/>
        <w:wordWrap/>
        <w:overflowPunct/>
        <w:topLinePunct w:val="0"/>
        <w:bidi w:val="0"/>
        <w:adjustRightInd w:val="0"/>
        <w:snapToGrid/>
        <w:spacing w:line="420" w:lineRule="exact"/>
        <w:ind w:left="0" w:leftChars="0" w:firstLine="420" w:firstLineChars="200"/>
        <w:jc w:val="left"/>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（5）承包人在缺陷责任期内，未能对工程接收证书所列的缺陷清单的内容或缺陷责任期内发生的缺陷进行修复，而又拒绝按监理人指示再进行修补；</w:t>
      </w:r>
    </w:p>
    <w:p>
      <w:pPr>
        <w:keepNext w:val="0"/>
        <w:keepLines w:val="0"/>
        <w:pageBreakBefore w:val="0"/>
        <w:shd w:val="clear" w:fill="auto"/>
        <w:kinsoku/>
        <w:wordWrap/>
        <w:overflowPunct/>
        <w:topLinePunct w:val="0"/>
        <w:bidi w:val="0"/>
        <w:adjustRightInd w:val="0"/>
        <w:snapToGrid/>
        <w:spacing w:line="420" w:lineRule="exact"/>
        <w:ind w:left="0" w:leftChars="0" w:firstLine="420" w:firstLineChars="200"/>
        <w:jc w:val="left"/>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（6）承包人无法继续履行或明确表示不履行或实质上已停止履行合同；</w:t>
      </w:r>
    </w:p>
    <w:p>
      <w:pPr>
        <w:keepNext w:val="0"/>
        <w:keepLines w:val="0"/>
        <w:pageBreakBefore w:val="0"/>
        <w:shd w:val="clear" w:fill="auto"/>
        <w:kinsoku/>
        <w:wordWrap/>
        <w:overflowPunct/>
        <w:topLinePunct w:val="0"/>
        <w:bidi w:val="0"/>
        <w:adjustRightInd w:val="0"/>
        <w:snapToGrid/>
        <w:spacing w:line="420" w:lineRule="exact"/>
        <w:ind w:left="0" w:leftChars="0" w:firstLine="420" w:firstLineChars="200"/>
        <w:jc w:val="left"/>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（7）承包人不按合同约定履行义务的其他情况。</w:t>
      </w:r>
    </w:p>
    <w:p>
      <w:pPr>
        <w:keepNext w:val="0"/>
        <w:keepLines w:val="0"/>
        <w:pageBreakBefore w:val="0"/>
        <w:shd w:val="clear" w:fill="auto"/>
        <w:kinsoku/>
        <w:wordWrap/>
        <w:overflowPunct/>
        <w:topLinePunct w:val="0"/>
        <w:bidi w:val="0"/>
        <w:adjustRightInd w:val="0"/>
        <w:snapToGrid/>
        <w:spacing w:line="420" w:lineRule="exact"/>
        <w:ind w:left="0" w:leftChars="0" w:firstLine="420" w:firstLineChars="200"/>
        <w:jc w:val="left"/>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补充如下约定：</w:t>
      </w:r>
    </w:p>
    <w:p>
      <w:pPr>
        <w:keepNext w:val="0"/>
        <w:keepLines w:val="0"/>
        <w:pageBreakBefore w:val="0"/>
        <w:shd w:val="clear" w:fill="auto"/>
        <w:kinsoku/>
        <w:wordWrap/>
        <w:overflowPunct/>
        <w:topLinePunct w:val="0"/>
        <w:bidi w:val="0"/>
        <w:adjustRightInd w:val="0"/>
        <w:snapToGrid/>
        <w:spacing w:line="420" w:lineRule="exact"/>
        <w:ind w:left="0" w:leftChars="0" w:firstLine="420" w:firstLineChars="200"/>
        <w:jc w:val="left"/>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（8）承包人违反约定，未经监理人批准，私自更换项目经理、总工程师或其他主要管理人员。</w:t>
      </w:r>
    </w:p>
    <w:p>
      <w:pPr>
        <w:keepNext w:val="0"/>
        <w:keepLines w:val="0"/>
        <w:pageBreakBefore w:val="0"/>
        <w:shd w:val="clear" w:fill="auto"/>
        <w:kinsoku/>
        <w:wordWrap/>
        <w:overflowPunct/>
        <w:topLinePunct w:val="0"/>
        <w:bidi w:val="0"/>
        <w:adjustRightInd w:val="0"/>
        <w:snapToGrid/>
        <w:spacing w:line="420" w:lineRule="exact"/>
        <w:ind w:left="0" w:leftChars="0" w:firstLine="420" w:firstLineChars="200"/>
        <w:jc w:val="left"/>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（9）未能遵守根据合同约定发出的通知；</w:t>
      </w:r>
    </w:p>
    <w:p>
      <w:pPr>
        <w:keepNext w:val="0"/>
        <w:keepLines w:val="0"/>
        <w:pageBreakBefore w:val="0"/>
        <w:shd w:val="clear" w:fill="auto"/>
        <w:kinsoku/>
        <w:wordWrap/>
        <w:overflowPunct/>
        <w:topLinePunct w:val="0"/>
        <w:bidi w:val="0"/>
        <w:adjustRightInd w:val="0"/>
        <w:snapToGrid/>
        <w:spacing w:line="420" w:lineRule="exact"/>
        <w:ind w:left="0" w:leftChars="0" w:firstLine="420" w:firstLineChars="200"/>
        <w:jc w:val="left"/>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（10）无正当理由未按合同约定开工；</w:t>
      </w:r>
    </w:p>
    <w:p>
      <w:pPr>
        <w:keepNext w:val="0"/>
        <w:keepLines w:val="0"/>
        <w:pageBreakBefore w:val="0"/>
        <w:shd w:val="clear" w:fill="auto"/>
        <w:kinsoku/>
        <w:wordWrap/>
        <w:overflowPunct/>
        <w:topLinePunct w:val="0"/>
        <w:bidi w:val="0"/>
        <w:adjustRightInd w:val="0"/>
        <w:snapToGrid/>
        <w:spacing w:line="420" w:lineRule="exact"/>
        <w:ind w:left="0" w:leftChars="0" w:firstLine="420" w:firstLineChars="200"/>
        <w:jc w:val="left"/>
        <w:textAlignment w:val="auto"/>
        <w:outlineLvl w:val="9"/>
        <w:rPr>
          <w:rFonts w:ascii="宋体" w:hAnsi="宋体" w:cs="宋体"/>
          <w:kern w:val="0"/>
          <w:szCs w:val="21"/>
          <w:highlight w:val="none"/>
          <w:u w:val="single"/>
        </w:rPr>
      </w:pPr>
      <w:r>
        <w:rPr>
          <w:rFonts w:hint="eastAsia" w:ascii="宋体" w:hAnsi="宋体" w:cs="宋体"/>
          <w:kern w:val="0"/>
          <w:szCs w:val="21"/>
          <w:highlight w:val="none"/>
          <w:u w:val="single"/>
        </w:rPr>
        <w:t>（11）无正当理由未按第合同约定收到通知后28天内采取必要措施加快工程进度；</w:t>
      </w:r>
    </w:p>
    <w:p>
      <w:pPr>
        <w:keepNext w:val="0"/>
        <w:keepLines w:val="0"/>
        <w:pageBreakBefore w:val="0"/>
        <w:shd w:val="clear" w:fill="auto"/>
        <w:kinsoku/>
        <w:wordWrap/>
        <w:overflowPunct/>
        <w:topLinePunct w:val="0"/>
        <w:bidi w:val="0"/>
        <w:adjustRightInd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u w:val="single"/>
        </w:rPr>
        <w:t xml:space="preserve">（12）无视监理人的书面警告，拒不改正 </w:t>
      </w:r>
      <w:r>
        <w:rPr>
          <w:rFonts w:hint="eastAsia" w:ascii="宋体" w:hAnsi="宋体" w:cs="宋体"/>
          <w:kern w:val="0"/>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kern w:val="0"/>
          <w:szCs w:val="21"/>
          <w:highlight w:val="none"/>
        </w:rPr>
        <w:t>承包人违约责任的承担方式和计算方法：</w:t>
      </w:r>
      <w:r>
        <w:rPr>
          <w:rFonts w:hint="eastAsia" w:ascii="宋体" w:hAnsi="宋体" w:cs="宋体"/>
          <w:szCs w:val="21"/>
          <w:highlight w:val="none"/>
          <w:u w:val="single"/>
        </w:rPr>
        <w:t>（1）承包人发生第22.1.1（6）目约定的违约情况时，发包人可通知承包人立即解除合同，并按有关法律处理。</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u w:val="single"/>
        </w:rPr>
        <w:t>（2）承包人应保证除不可抗力外的任何情形下保持连续施工，承包人未能按时开工、竣工或节点工期预期的，逾期每日应向发包人支付合同总价千分之一的违约金；逾期超过30日，承包人应支付合同总价20%的违约金，发包人并有权解除合同。发包人解除合同的，已完成并经发包人、监理书面认可的合格工程按80%结算。进场的所有材料、器械等施工用品自接到发包人离场通知后15天内全部清理出场，费用由承包人负责，未按时退场的材料、器械等施工用品，发包人有权进行处置。</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u w:val="single"/>
        </w:rPr>
        <w:t>（3）工程质量不合格的，承包人应按要求整改，工期不予顺延，并按不合格工程价款的 10% 支付违约金。材料不合格的，承包人除更换为合格材料外，还应按不合格材料部分价款的10%支付违约金。</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u w:val="single"/>
        </w:rPr>
        <w:t>（4）本合同其他条款对各项违约责任有专门约定的，按相关约定中标准较高者执行。其他违约情形，每次项或每日支付1000元违约金。</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u w:val="single"/>
        </w:rPr>
      </w:pPr>
      <w:r>
        <w:rPr>
          <w:rFonts w:hint="eastAsia" w:ascii="宋体" w:hAnsi="宋体" w:cs="宋体"/>
          <w:szCs w:val="21"/>
          <w:highlight w:val="none"/>
          <w:u w:val="single"/>
        </w:rPr>
        <w:t>（5）根据本合同应由承包人承担的违约金、赔偿金等，发包人均有权在支付任一笔款项时直接扣除，不足部分承包人应及时补足。</w:t>
      </w:r>
    </w:p>
    <w:p>
      <w:pPr>
        <w:keepNext w:val="0"/>
        <w:keepLines w:val="0"/>
        <w:pageBreakBefore w:val="0"/>
        <w:shd w:val="clear" w:fill="auto"/>
        <w:kinsoku/>
        <w:wordWrap/>
        <w:overflowPunct/>
        <w:topLinePunct w:val="0"/>
        <w:bidi w:val="0"/>
        <w:snapToGrid/>
        <w:spacing w:line="420" w:lineRule="exact"/>
        <w:ind w:left="0" w:leftChars="0"/>
        <w:jc w:val="left"/>
        <w:textAlignment w:val="auto"/>
        <w:outlineLvl w:val="9"/>
        <w:rPr>
          <w:rFonts w:ascii="宋体" w:hAnsi="宋体" w:cs="宋体"/>
          <w:szCs w:val="21"/>
          <w:highlight w:val="none"/>
        </w:rPr>
      </w:pPr>
      <w:r>
        <w:rPr>
          <w:rFonts w:hint="eastAsia" w:ascii="宋体" w:hAnsi="宋体" w:cs="宋体"/>
          <w:szCs w:val="21"/>
          <w:highlight w:val="none"/>
        </w:rPr>
        <w:t>22.1.3 承包人违约解除合同</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kern w:val="0"/>
          <w:szCs w:val="21"/>
          <w:highlight w:val="none"/>
        </w:rPr>
        <w:t>关于承包人违约解除合同的特别约定：</w:t>
      </w:r>
      <w:r>
        <w:rPr>
          <w:rFonts w:hint="eastAsia" w:ascii="宋体" w:hAnsi="宋体" w:cs="宋体"/>
          <w:kern w:val="0"/>
          <w:szCs w:val="21"/>
          <w:highlight w:val="none"/>
          <w:u w:val="single"/>
        </w:rPr>
        <w:t xml:space="preserve"> 符合法律规定或本合同约定的解除条件，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r>
        <w:rPr>
          <w:rFonts w:hint="eastAsia" w:ascii="宋体" w:hAnsi="宋体" w:cs="宋体"/>
          <w:kern w:val="0"/>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22.2发包人违约</w:t>
      </w:r>
      <w:bookmarkEnd w:id="823"/>
      <w:bookmarkEnd w:id="824"/>
    </w:p>
    <w:p>
      <w:pPr>
        <w:keepNext w:val="0"/>
        <w:keepLines w:val="0"/>
        <w:pageBreakBefore w:val="0"/>
        <w:shd w:val="clear" w:fill="auto"/>
        <w:kinsoku/>
        <w:wordWrap/>
        <w:overflowPunct/>
        <w:topLinePunct w:val="0"/>
        <w:bidi w:val="0"/>
        <w:snapToGrid/>
        <w:spacing w:line="420" w:lineRule="exact"/>
        <w:ind w:left="630" w:leftChars="0" w:hanging="630" w:hangingChars="3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发包人违约的责任</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发包人违约责任的承担方式和计算方法：</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u w:val="single"/>
        </w:rPr>
      </w:pPr>
      <w:r>
        <w:rPr>
          <w:rFonts w:hint="eastAsia" w:ascii="宋体" w:hAnsi="宋体" w:cs="宋体"/>
          <w:kern w:val="0"/>
          <w:szCs w:val="21"/>
          <w:highlight w:val="none"/>
        </w:rPr>
        <w:t>（1）因发包人原因未能在计划开工日期前7天内下达开工通知的违约责任：</w:t>
      </w:r>
      <w:r>
        <w:rPr>
          <w:rFonts w:hint="eastAsia" w:ascii="宋体" w:hAnsi="宋体" w:cs="宋体"/>
          <w:kern w:val="0"/>
          <w:szCs w:val="21"/>
          <w:highlight w:val="none"/>
          <w:u w:val="single"/>
        </w:rPr>
        <w:t xml:space="preserve"> 双方另行协商         </w:t>
      </w:r>
      <w:r>
        <w:rPr>
          <w:rFonts w:hint="eastAsia" w:ascii="宋体" w:hAnsi="宋体" w:cs="宋体"/>
          <w:kern w:val="0"/>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（2）因发包人原因未能按合同约定支付合同价款的违约责任：</w:t>
      </w:r>
      <w:r>
        <w:rPr>
          <w:rFonts w:hint="eastAsia" w:ascii="宋体" w:hAnsi="宋体" w:cs="宋体"/>
          <w:kern w:val="0"/>
          <w:szCs w:val="21"/>
          <w:highlight w:val="none"/>
          <w:u w:val="single"/>
        </w:rPr>
        <w:t xml:space="preserve"> 双方另行协商          </w:t>
      </w:r>
      <w:r>
        <w:rPr>
          <w:rFonts w:hint="eastAsia" w:ascii="宋体" w:hAnsi="宋体" w:cs="宋体"/>
          <w:kern w:val="0"/>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（3）发包人违反第15.1款〔变更的范围〕第（1）项约定，自行实施被取消的工作或转由他人实施的违约责任：</w:t>
      </w:r>
      <w:r>
        <w:rPr>
          <w:rFonts w:hint="eastAsia" w:ascii="宋体" w:hAnsi="宋体" w:cs="宋体"/>
          <w:kern w:val="0"/>
          <w:szCs w:val="21"/>
          <w:highlight w:val="none"/>
          <w:u w:val="single"/>
        </w:rPr>
        <w:t xml:space="preserve"> 双方另行协商 </w:t>
      </w:r>
      <w:r>
        <w:rPr>
          <w:rFonts w:hint="eastAsia" w:ascii="宋体" w:hAnsi="宋体" w:cs="宋体"/>
          <w:kern w:val="0"/>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kern w:val="0"/>
          <w:szCs w:val="21"/>
          <w:highlight w:val="none"/>
          <w:u w:val="single"/>
        </w:rPr>
        <w:t xml:space="preserve">  双方另行协商  </w:t>
      </w:r>
      <w:r>
        <w:rPr>
          <w:rFonts w:hint="eastAsia" w:ascii="宋体" w:hAnsi="宋体" w:cs="宋体"/>
          <w:kern w:val="0"/>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（5）因发包人违反合同约定造成暂停施工的违约责任：</w:t>
      </w:r>
      <w:r>
        <w:rPr>
          <w:rFonts w:hint="eastAsia" w:ascii="宋体" w:hAnsi="宋体" w:cs="宋体"/>
          <w:kern w:val="0"/>
          <w:szCs w:val="21"/>
          <w:highlight w:val="none"/>
          <w:u w:val="single"/>
        </w:rPr>
        <w:t xml:space="preserve"> 双方另行协商 </w:t>
      </w:r>
      <w:r>
        <w:rPr>
          <w:rFonts w:hint="eastAsia" w:ascii="宋体" w:hAnsi="宋体" w:cs="宋体"/>
          <w:kern w:val="0"/>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（6）发包人无正当理由没有在约定期限内发出复工指示，导致承包人无法复工的违约责任：</w:t>
      </w:r>
      <w:r>
        <w:rPr>
          <w:rFonts w:hint="eastAsia" w:ascii="宋体" w:hAnsi="宋体" w:cs="宋体"/>
          <w:kern w:val="0"/>
          <w:szCs w:val="21"/>
          <w:highlight w:val="none"/>
          <w:u w:val="single"/>
        </w:rPr>
        <w:t xml:space="preserve"> 双方另行协商             </w:t>
      </w:r>
      <w:r>
        <w:rPr>
          <w:rFonts w:hint="eastAsia" w:ascii="宋体" w:hAnsi="宋体" w:cs="宋体"/>
          <w:kern w:val="0"/>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（7）其他：</w:t>
      </w:r>
      <w:r>
        <w:rPr>
          <w:rFonts w:hint="eastAsia" w:ascii="宋体" w:hAnsi="宋体" w:cs="宋体"/>
          <w:kern w:val="0"/>
          <w:szCs w:val="21"/>
          <w:highlight w:val="none"/>
          <w:u w:val="single"/>
        </w:rPr>
        <w:t xml:space="preserve">        双方另行协商            </w:t>
      </w:r>
      <w:r>
        <w:rPr>
          <w:rFonts w:hint="eastAsia" w:ascii="宋体" w:hAnsi="宋体" w:cs="宋体"/>
          <w:kern w:val="0"/>
          <w:szCs w:val="21"/>
          <w:highlight w:val="none"/>
        </w:rPr>
        <w:t>。</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22.2.3 发包人违约解除合同</w:t>
      </w:r>
    </w:p>
    <w:p>
      <w:pPr>
        <w:keepNext w:val="0"/>
        <w:keepLines w:val="0"/>
        <w:pageBreakBefore w:val="0"/>
        <w:shd w:val="clear" w:fill="auto"/>
        <w:kinsoku/>
        <w:wordWrap/>
        <w:overflowPunct/>
        <w:topLinePunct w:val="0"/>
        <w:autoSpaceDE w:val="0"/>
        <w:autoSpaceDN w:val="0"/>
        <w:bidi w:val="0"/>
        <w:adjustRightInd w:val="0"/>
        <w:snapToGrid/>
        <w:spacing w:line="420" w:lineRule="exact"/>
        <w:ind w:left="0" w:leftChars="0" w:firstLine="420" w:firstLineChars="200"/>
        <w:jc w:val="left"/>
        <w:textAlignment w:val="auto"/>
        <w:outlineLvl w:val="9"/>
        <w:rPr>
          <w:rFonts w:ascii="宋体" w:hAnsi="宋体" w:cs="宋体"/>
          <w:kern w:val="0"/>
          <w:szCs w:val="21"/>
          <w:highlight w:val="none"/>
        </w:rPr>
      </w:pPr>
      <w:r>
        <w:rPr>
          <w:rFonts w:hint="eastAsia" w:ascii="宋体" w:hAnsi="宋体" w:cs="宋体"/>
          <w:kern w:val="0"/>
          <w:szCs w:val="21"/>
          <w:highlight w:val="none"/>
        </w:rPr>
        <w:t>承包人按22.2.1项〔发包人违约的情形〕约定暂停施工满</w:t>
      </w:r>
      <w:r>
        <w:rPr>
          <w:rFonts w:hint="eastAsia" w:ascii="宋体" w:hAnsi="宋体" w:cs="宋体"/>
          <w:kern w:val="0"/>
          <w:szCs w:val="21"/>
          <w:highlight w:val="none"/>
          <w:u w:val="single"/>
        </w:rPr>
        <w:t xml:space="preserve">  /  </w:t>
      </w:r>
      <w:r>
        <w:rPr>
          <w:rFonts w:hint="eastAsia" w:ascii="宋体" w:hAnsi="宋体" w:cs="宋体"/>
          <w:kern w:val="0"/>
          <w:szCs w:val="21"/>
          <w:highlight w:val="none"/>
        </w:rPr>
        <w:t>天后发包人仍不纠正其违约行为并致使合同目的不能实现的，承包人有权解除合同。</w:t>
      </w:r>
    </w:p>
    <w:bookmarkEnd w:id="789"/>
    <w:bookmarkEnd w:id="790"/>
    <w:bookmarkEnd w:id="791"/>
    <w:bookmarkEnd w:id="792"/>
    <w:bookmarkEnd w:id="793"/>
    <w:bookmarkEnd w:id="794"/>
    <w:bookmarkEnd w:id="795"/>
    <w:bookmarkEnd w:id="796"/>
    <w:bookmarkEnd w:id="797"/>
    <w:bookmarkEnd w:id="798"/>
    <w:bookmarkEnd w:id="799"/>
    <w:bookmarkEnd w:id="800"/>
    <w:bookmarkEnd w:id="814"/>
    <w:bookmarkEnd w:id="815"/>
    <w:p>
      <w:pPr>
        <w:keepNext w:val="0"/>
        <w:keepLines w:val="0"/>
        <w:pageBreakBefore w:val="0"/>
        <w:shd w:val="clear" w:fill="auto"/>
        <w:kinsoku/>
        <w:wordWrap/>
        <w:overflowPunct/>
        <w:topLinePunct w:val="0"/>
        <w:bidi w:val="0"/>
        <w:snapToGrid/>
        <w:spacing w:line="420" w:lineRule="exact"/>
        <w:ind w:left="0" w:leftChars="0"/>
        <w:textAlignment w:val="auto"/>
        <w:outlineLvl w:val="9"/>
        <w:rPr>
          <w:rFonts w:ascii="宋体" w:hAnsi="宋体" w:cs="宋体"/>
          <w:szCs w:val="21"/>
          <w:highlight w:val="none"/>
        </w:rPr>
      </w:pPr>
      <w:bookmarkStart w:id="825" w:name="_Toc29659"/>
      <w:r>
        <w:rPr>
          <w:rFonts w:hint="eastAsia" w:ascii="宋体" w:hAnsi="宋体" w:cs="宋体"/>
          <w:szCs w:val="21"/>
          <w:highlight w:val="none"/>
        </w:rPr>
        <w:t>24.争议解决</w:t>
      </w:r>
      <w:bookmarkEnd w:id="825"/>
    </w:p>
    <w:bookmarkEnd w:id="801"/>
    <w:bookmarkEnd w:id="802"/>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bookmarkStart w:id="826" w:name="_Toc22347"/>
      <w:bookmarkStart w:id="827" w:name="_Toc512676412"/>
      <w:r>
        <w:rPr>
          <w:rFonts w:hint="eastAsia" w:ascii="宋体" w:hAnsi="宋体" w:cs="宋体"/>
          <w:szCs w:val="21"/>
          <w:highlight w:val="none"/>
        </w:rPr>
        <w:t>24.1争议的解决方式</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因合同及合同有关事项发生的争议，按下列第</w:t>
      </w:r>
      <w:r>
        <w:rPr>
          <w:rFonts w:hint="eastAsia" w:ascii="宋体" w:hAnsi="宋体" w:cs="宋体"/>
          <w:szCs w:val="21"/>
          <w:highlight w:val="none"/>
          <w:u w:val="single"/>
        </w:rPr>
        <w:t xml:space="preserve">  （2）  </w:t>
      </w:r>
      <w:r>
        <w:rPr>
          <w:rFonts w:hint="eastAsia" w:ascii="宋体" w:hAnsi="宋体" w:cs="宋体"/>
          <w:szCs w:val="21"/>
          <w:highlight w:val="none"/>
        </w:rPr>
        <w:t>种方式解决：</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（1）向</w:t>
      </w:r>
      <w:r>
        <w:rPr>
          <w:rFonts w:hint="eastAsia" w:ascii="宋体" w:hAnsi="宋体" w:cs="宋体"/>
          <w:szCs w:val="21"/>
          <w:highlight w:val="none"/>
          <w:u w:val="single"/>
        </w:rPr>
        <w:t xml:space="preserve">     郑州     </w:t>
      </w:r>
      <w:r>
        <w:rPr>
          <w:rFonts w:hint="eastAsia" w:ascii="宋体" w:hAnsi="宋体" w:cs="宋体"/>
          <w:szCs w:val="21"/>
          <w:highlight w:val="none"/>
        </w:rPr>
        <w:t>仲裁委员会申请仲裁；</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（2）向</w:t>
      </w:r>
      <w:r>
        <w:rPr>
          <w:rFonts w:hint="eastAsia" w:ascii="宋体" w:hAnsi="宋体" w:cs="宋体"/>
          <w:szCs w:val="21"/>
          <w:highlight w:val="none"/>
          <w:u w:val="single"/>
        </w:rPr>
        <w:t xml:space="preserve">  工程所在地  </w:t>
      </w:r>
      <w:r>
        <w:rPr>
          <w:rFonts w:hint="eastAsia" w:ascii="宋体" w:hAnsi="宋体" w:cs="宋体"/>
          <w:szCs w:val="21"/>
          <w:highlight w:val="none"/>
        </w:rPr>
        <w:t>人民法院起诉。</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24.3争</w:t>
      </w:r>
      <w:bookmarkEnd w:id="803"/>
      <w:r>
        <w:rPr>
          <w:rFonts w:hint="eastAsia" w:ascii="宋体" w:hAnsi="宋体" w:cs="宋体"/>
          <w:szCs w:val="21"/>
          <w:highlight w:val="none"/>
        </w:rPr>
        <w:t>议评审</w:t>
      </w:r>
      <w:bookmarkEnd w:id="826"/>
      <w:bookmarkEnd w:id="827"/>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合同当事人是否同意将工程争议提交争议评审小组决定：</w:t>
      </w:r>
      <w:r>
        <w:rPr>
          <w:rFonts w:hint="eastAsia" w:ascii="宋体" w:hAnsi="宋体" w:cs="宋体"/>
          <w:szCs w:val="21"/>
          <w:highlight w:val="none"/>
          <w:u w:val="single"/>
        </w:rPr>
        <w:t xml:space="preserve"> 否 </w:t>
      </w:r>
      <w:r>
        <w:rPr>
          <w:rFonts w:hint="eastAsia" w:ascii="宋体" w:hAnsi="宋体" w:cs="宋体"/>
          <w:szCs w:val="21"/>
          <w:highlight w:val="none"/>
        </w:rPr>
        <w:t xml:space="preserve">。  </w:t>
      </w:r>
    </w:p>
    <w:bookmarkEnd w:id="804"/>
    <w:bookmarkEnd w:id="805"/>
    <w:bookmarkEnd w:id="806"/>
    <w:bookmarkEnd w:id="807"/>
    <w:bookmarkEnd w:id="808"/>
    <w:bookmarkEnd w:id="809"/>
    <w:bookmarkEnd w:id="810"/>
    <w:p>
      <w:pPr>
        <w:keepNext w:val="0"/>
        <w:keepLines w:val="0"/>
        <w:pageBreakBefore w:val="0"/>
        <w:shd w:val="clear" w:fill="auto"/>
        <w:kinsoku/>
        <w:wordWrap/>
        <w:overflowPunct/>
        <w:topLinePunct w:val="0"/>
        <w:bidi w:val="0"/>
        <w:snapToGrid/>
        <w:spacing w:line="420" w:lineRule="exact"/>
        <w:ind w:left="0" w:leftChars="0"/>
        <w:jc w:val="left"/>
        <w:textAlignment w:val="auto"/>
        <w:outlineLvl w:val="9"/>
        <w:rPr>
          <w:rFonts w:ascii="宋体" w:hAnsi="宋体" w:cs="宋体"/>
          <w:szCs w:val="21"/>
          <w:highlight w:val="none"/>
        </w:rPr>
      </w:pPr>
      <w:bookmarkStart w:id="828" w:name="_Toc26658"/>
      <w:r>
        <w:rPr>
          <w:rFonts w:hint="eastAsia" w:ascii="宋体" w:hAnsi="宋体" w:cs="宋体"/>
          <w:szCs w:val="21"/>
          <w:highlight w:val="none"/>
        </w:rPr>
        <w:t>25.补充条款</w:t>
      </w:r>
      <w:bookmarkEnd w:id="828"/>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25.1承包人不认真履行合同，在实质性问题上违反合同内容，拖延工期，忽视工程质量，不守信用，发包人有权责令停工或终止合同。报请政府监管部门列入投标黑名单，五年内不得参与与发包人有关的招标。</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25.2项目经理及技术负责人应常驻施工现场，每周常驻工地不少于6日（发包人实行工地考勤制度），重点部位施工项目经理必须在场，否则发包人将对承包人处于以下处罚：项目经理罚款1万元/天、技术负责人罚款5000元/天，罚款将从履约保证金中扣除。</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25.3承包人不得将其承包的全部工程转包给他人，不得将其承包的全部工程肢解以后以分包的名义分别转包给他人，否则发包人有权解除合同。</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25.4为确保施工安全，承包人应</w:t>
      </w:r>
      <w:r>
        <w:rPr>
          <w:rFonts w:hint="eastAsia" w:ascii="宋体" w:hAnsi="宋体" w:cs="宋体"/>
          <w:szCs w:val="21"/>
          <w:highlight w:val="none"/>
          <w:u w:val="single"/>
        </w:rPr>
        <w:t>根据项目实际需要设立安全组织机构，制定安全生产管理责任制，配备专职安全管理人员，制定</w:t>
      </w:r>
      <w:r>
        <w:rPr>
          <w:rFonts w:hint="eastAsia" w:ascii="宋体" w:hAnsi="宋体" w:cs="宋体"/>
          <w:szCs w:val="21"/>
          <w:highlight w:val="none"/>
        </w:rPr>
        <w:t>相应的安全措施，对职工进行安全教育。</w:t>
      </w:r>
      <w:r>
        <w:rPr>
          <w:rFonts w:hint="eastAsia" w:ascii="宋体" w:hAnsi="宋体" w:cs="宋体"/>
          <w:szCs w:val="21"/>
          <w:highlight w:val="none"/>
          <w:u w:val="single"/>
        </w:rPr>
        <w:t>工程开工前，承包人须提供《施工安全生产承诺书》、安全组织机构，针对项目情况制订的的实施性安全生产管理措施报监理人审批后报发包人备案。</w:t>
      </w:r>
      <w:r>
        <w:rPr>
          <w:rFonts w:hint="eastAsia" w:ascii="宋体" w:hAnsi="宋体" w:cs="宋体"/>
          <w:szCs w:val="21"/>
          <w:highlight w:val="none"/>
        </w:rPr>
        <w:t>凡因承包人违反安全措施而造成的罚款、人身伤亡事故或伤害他人事故，均由承包人负责。</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25.5施工现场的卫生标准、噪声标准应满足国家有关规定，施工中因违反有关规定造成的损失和发生的费用由承包人负责。承包单位应加强施工现场管理，做到文明施工。</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25.6发包人有权要求承包人更换不称职的管理人员。</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25.</w:t>
      </w:r>
      <w:r>
        <w:rPr>
          <w:rFonts w:hint="eastAsia" w:ascii="宋体" w:hAnsi="宋体" w:cs="宋体"/>
          <w:szCs w:val="21"/>
          <w:highlight w:val="none"/>
          <w:lang w:val="en-US" w:eastAsia="zh-CN"/>
        </w:rPr>
        <w:t>7</w:t>
      </w:r>
      <w:r>
        <w:rPr>
          <w:rFonts w:hint="eastAsia" w:ascii="宋体" w:hAnsi="宋体" w:cs="宋体"/>
          <w:szCs w:val="21"/>
          <w:highlight w:val="none"/>
        </w:rPr>
        <w:t>如因承包人原因工程未按期交付使用，承包方承担延期所造成的损失，并扣除工程质量保证金。</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25.</w:t>
      </w:r>
      <w:r>
        <w:rPr>
          <w:rFonts w:hint="eastAsia" w:ascii="宋体" w:hAnsi="宋体" w:cs="宋体"/>
          <w:szCs w:val="21"/>
          <w:highlight w:val="none"/>
          <w:lang w:val="en-US" w:eastAsia="zh-CN"/>
        </w:rPr>
        <w:t>8</w:t>
      </w:r>
      <w:r>
        <w:rPr>
          <w:rFonts w:hint="eastAsia" w:ascii="宋体" w:hAnsi="宋体" w:cs="宋体"/>
          <w:szCs w:val="21"/>
          <w:highlight w:val="none"/>
        </w:rPr>
        <w:t>承包人应配备满足需求的工具车辆，协助发包人积极参与周边协调工作，改善施工环境，保证项目顺利实施。</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25.</w:t>
      </w:r>
      <w:r>
        <w:rPr>
          <w:rFonts w:hint="eastAsia" w:ascii="宋体" w:hAnsi="宋体" w:cs="宋体"/>
          <w:szCs w:val="21"/>
          <w:highlight w:val="none"/>
          <w:lang w:val="en-US" w:eastAsia="zh-CN"/>
        </w:rPr>
        <w:t>9</w:t>
      </w:r>
      <w:r>
        <w:rPr>
          <w:rFonts w:hint="eastAsia" w:ascii="宋体" w:hAnsi="宋体" w:cs="宋体"/>
          <w:szCs w:val="21"/>
          <w:highlight w:val="none"/>
        </w:rPr>
        <w:t>承包人需服从发包人现场项目部、监理人的管理，所下发的管理制度、会议纪要、通知等文件作为合同的组成部分。</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25.</w:t>
      </w:r>
      <w:r>
        <w:rPr>
          <w:rFonts w:hint="eastAsia" w:ascii="宋体" w:hAnsi="宋体" w:cs="宋体"/>
          <w:szCs w:val="21"/>
          <w:highlight w:val="none"/>
          <w:lang w:val="en-US" w:eastAsia="zh-CN"/>
        </w:rPr>
        <w:t>10</w:t>
      </w:r>
      <w:r>
        <w:rPr>
          <w:rFonts w:hint="eastAsia" w:ascii="宋体" w:hAnsi="宋体" w:cs="宋体"/>
          <w:szCs w:val="21"/>
          <w:highlight w:val="none"/>
        </w:rPr>
        <w:t>如有下列情况，发包人有权终止合同并要求承包人离场：（1）现场具备开工条件，承包人30天内仍不进场施工；（2）未按投标时的施工组织设计进行施工，发包人以合同履约整改督促单形式通知承包人3次，仍未按要求完成。若出现上述情况，视为承包人违约，发包人有权责令承包人离场且终止合同，同时扣除全部履约保证金，并报请政府监管部门将承包人列入投标黑名单。现场已完工程量的决算约定：经发包人及监理认可的已完合同内实体工程量按80%进行决算，进场的所有材料、器械等施工用品自接到发包人离场通知后15天内全部清理出场，费用由承包人负责，未按时退场的材料、器械等施工用品发包人有权进行处置。承包人对发包人所造成的损失，发包人保有索赔权。</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25.</w:t>
      </w:r>
      <w:r>
        <w:rPr>
          <w:rFonts w:hint="eastAsia" w:ascii="宋体" w:hAnsi="宋体" w:cs="宋体"/>
          <w:szCs w:val="21"/>
          <w:highlight w:val="none"/>
          <w:lang w:val="en-US" w:eastAsia="zh-CN"/>
        </w:rPr>
        <w:t>1</w:t>
      </w:r>
      <w:r>
        <w:rPr>
          <w:rFonts w:hint="eastAsia" w:ascii="宋体" w:hAnsi="宋体" w:cs="宋体"/>
          <w:szCs w:val="21"/>
          <w:highlight w:val="none"/>
        </w:rPr>
        <w:t>1按照《郑州市建筑工地扬尘污染治理标准化实施指南》及相关法律法规规定，工地扬尘治理执行八个百分之百标准，承包人要配备专职扬尘治理管理人员，采取防治扬尘的相关技术措施及配备洒水车、雾炮等扬尘防治工器具，确保施工区域设置围挡封闭管理，裸土全部采用密目网覆盖，施工区域道路及进厂施工道路全部硬化，同时应满足相关法律法规及政府、环保等部门关于大气污染防治的相关要求，并承担相关费用。施工现场的文明施工达到八个百分之百标准，经发包人及监理人验收合格后，方能进行土方开挖工作。若承包人未按政府规定、要求或合同约定尽到安全文明施工义务导致相关政府部门做出有关扬尘、大气污染防治等相关处罚规定的，均由承包人承担全部费用和损失，发包人保留进行追加处罚的权利。</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25.</w:t>
      </w:r>
      <w:r>
        <w:rPr>
          <w:rFonts w:hint="eastAsia" w:ascii="宋体" w:hAnsi="宋体" w:cs="宋体"/>
          <w:szCs w:val="21"/>
          <w:highlight w:val="none"/>
          <w:lang w:val="en-US" w:eastAsia="zh-CN"/>
        </w:rPr>
        <w:t>12</w:t>
      </w:r>
      <w:r>
        <w:rPr>
          <w:rFonts w:hint="eastAsia" w:ascii="宋体" w:hAnsi="宋体" w:cs="宋体"/>
          <w:szCs w:val="21"/>
          <w:highlight w:val="none"/>
        </w:rPr>
        <w:t>承包方应负责所承担工程全部竣工资料的整理、装订、归档工作，并配合总包单位办理并通过竣工验收备案，发包方予以配合，费用含在签约合同价内。</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25.</w:t>
      </w:r>
      <w:r>
        <w:rPr>
          <w:rFonts w:hint="eastAsia" w:ascii="宋体" w:hAnsi="宋体" w:cs="宋体"/>
          <w:szCs w:val="21"/>
          <w:highlight w:val="none"/>
          <w:lang w:val="en-US" w:eastAsia="zh-CN"/>
        </w:rPr>
        <w:t>13</w:t>
      </w:r>
      <w:r>
        <w:rPr>
          <w:rFonts w:hint="eastAsia" w:ascii="宋体" w:hAnsi="宋体" w:cs="宋体"/>
          <w:szCs w:val="21"/>
          <w:highlight w:val="none"/>
        </w:rPr>
        <w:t>在发包方要求的时间内，承包方不清理施工现场，发包方将委托他人清理，发生的费用从承包方结算款中扣除，同时同时承包方承担相应违约责任。</w:t>
      </w:r>
    </w:p>
    <w:p>
      <w:pPr>
        <w:keepNext w:val="0"/>
        <w:keepLines w:val="0"/>
        <w:pageBreakBefore w:val="0"/>
        <w:shd w:val="clear" w:fill="auto"/>
        <w:kinsoku/>
        <w:wordWrap/>
        <w:overflowPunct/>
        <w:topLinePunct w:val="0"/>
        <w:bidi w:val="0"/>
        <w:snapToGrid/>
        <w:spacing w:line="420" w:lineRule="exact"/>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25.</w:t>
      </w:r>
      <w:r>
        <w:rPr>
          <w:rFonts w:hint="eastAsia" w:ascii="宋体" w:hAnsi="宋体" w:cs="宋体"/>
          <w:szCs w:val="21"/>
          <w:highlight w:val="none"/>
          <w:lang w:val="en-US" w:eastAsia="zh-CN"/>
        </w:rPr>
        <w:t>14</w:t>
      </w:r>
      <w:r>
        <w:rPr>
          <w:rFonts w:hint="eastAsia" w:ascii="宋体" w:hAnsi="宋体" w:cs="宋体"/>
          <w:szCs w:val="21"/>
          <w:highlight w:val="none"/>
        </w:rPr>
        <w:t>若因承包人与其材料或设备供应商、分包商、劳务队伍等出现法律纠纷，导致发包人在仲裁或诉讼程序中被列为当事人的（无论发包人最终是否承担责任），每发生一次，承包人应向发包人支付 20 万元的违约金。该违约金不足以弥补由此给发包人造成的损失的，承包人还应向发包人赔偿全部损失（包括但不限于案件受理费、保全费、律师费、执行费等）。上述违约金与损失赔偿，发包人有权从应付承包人工程款中予以扣除。</w:t>
      </w:r>
    </w:p>
    <w:p>
      <w:pPr>
        <w:keepNext w:val="0"/>
        <w:keepLines w:val="0"/>
        <w:pageBreakBefore w:val="0"/>
        <w:shd w:val="clear" w:fill="auto"/>
        <w:kinsoku/>
        <w:wordWrap/>
        <w:overflowPunct/>
        <w:topLinePunct w:val="0"/>
        <w:bidi w:val="0"/>
        <w:snapToGrid/>
        <w:spacing w:line="420" w:lineRule="exact"/>
        <w:ind w:left="0" w:leftChars="0" w:firstLine="420" w:firstLineChars="200"/>
        <w:textAlignment w:val="auto"/>
        <w:outlineLvl w:val="9"/>
        <w:rPr>
          <w:rFonts w:ascii="宋体" w:hAnsi="宋体"/>
          <w:szCs w:val="21"/>
          <w:highlight w:val="none"/>
        </w:rPr>
      </w:pPr>
      <w:r>
        <w:rPr>
          <w:rFonts w:hint="eastAsia" w:ascii="宋体" w:hAnsi="宋体" w:cs="宋体"/>
          <w:szCs w:val="21"/>
          <w:highlight w:val="none"/>
        </w:rPr>
        <w:t>本合同未尽事宜，双方另行签订补充协议，补充协议是本合同的组成部分。</w:t>
      </w:r>
    </w:p>
    <w:p>
      <w:pPr>
        <w:outlineLvl w:val="9"/>
        <w:rPr>
          <w:rFonts w:hint="eastAsia" w:ascii="黑体" w:hAnsi="黑体" w:eastAsia="黑体" w:cs="黑体"/>
          <w:b w:val="0"/>
          <w:sz w:val="30"/>
          <w:szCs w:val="30"/>
          <w:highlight w:val="yellow"/>
        </w:rPr>
      </w:pPr>
      <w:r>
        <w:rPr>
          <w:rFonts w:hint="eastAsia" w:ascii="宋体" w:hAnsi="宋体" w:cs="宋体"/>
          <w:szCs w:val="21"/>
          <w:highlight w:val="none"/>
        </w:rPr>
        <w:br w:type="page"/>
      </w:r>
      <w:bookmarkStart w:id="829" w:name="_Toc2084188277"/>
      <w:bookmarkStart w:id="830" w:name="_Toc358881767"/>
      <w:r>
        <w:rPr>
          <w:rFonts w:hint="eastAsia" w:ascii="宋体" w:hAnsi="宋体" w:cs="宋体"/>
          <w:szCs w:val="21"/>
          <w:highlight w:val="none"/>
          <w:lang w:val="en-US" w:eastAsia="zh-CN"/>
        </w:rPr>
        <w:t xml:space="preserve">                                      </w:t>
      </w:r>
      <w:r>
        <w:rPr>
          <w:rFonts w:hint="eastAsia" w:ascii="黑体" w:hAnsi="黑体" w:eastAsia="黑体" w:cs="黑体"/>
          <w:b w:val="0"/>
          <w:sz w:val="30"/>
          <w:szCs w:val="30"/>
          <w:highlight w:val="yellow"/>
        </w:rPr>
        <w:t>工程质量保修书</w:t>
      </w:r>
      <w:bookmarkEnd w:id="829"/>
      <w:bookmarkEnd w:id="830"/>
    </w:p>
    <w:p>
      <w:pPr>
        <w:outlineLvl w:val="9"/>
        <w:rPr>
          <w:rFonts w:hint="eastAsia" w:ascii="黑体" w:hAnsi="黑体" w:eastAsia="黑体" w:cs="黑体"/>
          <w:b w:val="0"/>
          <w:sz w:val="30"/>
          <w:szCs w:val="30"/>
          <w:highlight w:val="yellow"/>
        </w:rPr>
      </w:pPr>
    </w:p>
    <w:p>
      <w:pPr>
        <w:snapToGrid w:val="0"/>
        <w:spacing w:line="360" w:lineRule="auto"/>
        <w:ind w:firstLine="600"/>
        <w:jc w:val="both"/>
        <w:rPr>
          <w:rFonts w:hint="eastAsia" w:ascii="宋体" w:hAnsi="宋体" w:eastAsia="宋体" w:cs="宋体"/>
          <w:sz w:val="21"/>
          <w:szCs w:val="21"/>
          <w:highlight w:val="yellow"/>
          <w:u w:val="single"/>
        </w:rPr>
      </w:pPr>
      <w:r>
        <w:rPr>
          <w:rFonts w:hint="eastAsia" w:ascii="宋体" w:hAnsi="宋体" w:eastAsia="宋体" w:cs="宋体"/>
          <w:sz w:val="21"/>
          <w:szCs w:val="21"/>
          <w:highlight w:val="yellow"/>
        </w:rPr>
        <w:t>发包人和承包人根据《中华人民共和国建筑法》《建设工程质量管理条例》和《园林绿化工程施工及验收规范》</w:t>
      </w:r>
      <w:r>
        <w:rPr>
          <w:rFonts w:hint="eastAsia" w:ascii="宋体" w:hAnsi="宋体" w:eastAsia="宋体" w:cs="宋体"/>
          <w:bCs/>
          <w:sz w:val="21"/>
          <w:szCs w:val="21"/>
          <w:highlight w:val="yellow"/>
        </w:rPr>
        <w:t>（CJJ82）</w:t>
      </w:r>
      <w:r>
        <w:rPr>
          <w:rFonts w:hint="eastAsia" w:ascii="宋体" w:hAnsi="宋体" w:eastAsia="宋体" w:cs="宋体"/>
          <w:bCs/>
          <w:sz w:val="21"/>
          <w:szCs w:val="21"/>
          <w:highlight w:val="yellow"/>
          <w:lang w:val="en-US" w:eastAsia="zh-CN"/>
        </w:rPr>
        <w:t>以及</w:t>
      </w:r>
      <w:r>
        <w:rPr>
          <w:rFonts w:hint="eastAsia" w:ascii="宋体" w:hAnsi="宋体" w:eastAsia="宋体" w:cs="宋体"/>
          <w:bCs/>
          <w:sz w:val="21"/>
          <w:szCs w:val="21"/>
          <w:highlight w:val="yellow"/>
          <w:u w:val="single"/>
          <w:lang w:val="en-US" w:eastAsia="zh-CN"/>
        </w:rPr>
        <w:t xml:space="preserve">            </w:t>
      </w:r>
      <w:r>
        <w:rPr>
          <w:rFonts w:hint="eastAsia" w:ascii="宋体" w:hAnsi="宋体" w:eastAsia="宋体" w:cs="宋体"/>
          <w:bCs/>
          <w:sz w:val="21"/>
          <w:szCs w:val="21"/>
          <w:highlight w:val="yellow"/>
          <w:u w:val="none"/>
          <w:lang w:val="en-US" w:eastAsia="zh-CN"/>
        </w:rPr>
        <w:t>（地方标准）</w:t>
      </w:r>
      <w:r>
        <w:rPr>
          <w:rFonts w:hint="eastAsia" w:ascii="宋体" w:hAnsi="宋体" w:eastAsia="宋体" w:cs="宋体"/>
          <w:bCs/>
          <w:sz w:val="21"/>
          <w:szCs w:val="21"/>
          <w:highlight w:val="yellow"/>
        </w:rPr>
        <w:t>，</w:t>
      </w:r>
      <w:r>
        <w:rPr>
          <w:rFonts w:hint="eastAsia" w:ascii="宋体" w:hAnsi="宋体" w:eastAsia="宋体" w:cs="宋体"/>
          <w:sz w:val="21"/>
          <w:szCs w:val="21"/>
          <w:highlight w:val="yellow"/>
        </w:rPr>
        <w:t>经协商一致就</w:t>
      </w:r>
      <w:r>
        <w:rPr>
          <w:rFonts w:hint="eastAsia" w:ascii="宋体" w:hAnsi="宋体" w:eastAsia="宋体" w:cs="宋体"/>
          <w:sz w:val="21"/>
          <w:szCs w:val="21"/>
          <w:highlight w:val="yellow"/>
          <w:u w:val="single"/>
        </w:rPr>
        <w:t xml:space="preserve">                </w:t>
      </w:r>
    </w:p>
    <w:p>
      <w:pPr>
        <w:snapToGrid w:val="0"/>
        <w:spacing w:line="360" w:lineRule="auto"/>
        <w:jc w:val="both"/>
        <w:rPr>
          <w:rFonts w:hint="eastAsia" w:ascii="宋体" w:hAnsi="宋体" w:eastAsia="宋体" w:cs="宋体"/>
          <w:sz w:val="21"/>
          <w:szCs w:val="21"/>
          <w:highlight w:val="yellow"/>
        </w:rPr>
      </w:pPr>
      <w:r>
        <w:rPr>
          <w:rFonts w:hint="eastAsia" w:ascii="宋体" w:hAnsi="宋体" w:eastAsia="宋体" w:cs="宋体"/>
          <w:sz w:val="21"/>
          <w:szCs w:val="21"/>
          <w:highlight w:val="yellow"/>
        </w:rPr>
        <w:t>（工程名称）签订工程质量保修书。</w:t>
      </w:r>
    </w:p>
    <w:p>
      <w:pPr>
        <w:snapToGrid w:val="0"/>
        <w:spacing w:line="360" w:lineRule="auto"/>
        <w:ind w:firstLine="600"/>
        <w:rPr>
          <w:rFonts w:hint="eastAsia" w:ascii="宋体" w:hAnsi="宋体" w:eastAsia="宋体" w:cs="宋体"/>
          <w:b/>
          <w:sz w:val="21"/>
          <w:szCs w:val="21"/>
          <w:highlight w:val="yellow"/>
        </w:rPr>
      </w:pPr>
      <w:r>
        <w:rPr>
          <w:rFonts w:hint="eastAsia" w:ascii="宋体" w:hAnsi="宋体" w:eastAsia="宋体" w:cs="宋体"/>
          <w:b/>
          <w:sz w:val="21"/>
          <w:szCs w:val="21"/>
          <w:highlight w:val="yellow"/>
        </w:rPr>
        <w:t>一、工程质量保修范围和内容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Autospacing="0" w:afterAutospacing="0" w:line="450" w:lineRule="exact"/>
        <w:ind w:left="0" w:right="0" w:firstLine="420" w:firstLineChars="200"/>
        <w:jc w:val="left"/>
        <w:textAlignment w:val="auto"/>
        <w:rPr>
          <w:rFonts w:hint="eastAsia" w:ascii="宋体" w:hAnsi="宋体" w:eastAsia="宋体" w:cs="宋体"/>
          <w:color w:val="auto"/>
          <w:kern w:val="2"/>
          <w:sz w:val="21"/>
          <w:szCs w:val="21"/>
          <w:highlight w:val="yellow"/>
          <w:shd w:val="clear" w:color="auto" w:fill="FFFFFF"/>
          <w:lang w:val="en-US" w:eastAsia="zh-CN" w:bidi="ar"/>
        </w:rPr>
      </w:pPr>
      <w:r>
        <w:rPr>
          <w:rFonts w:hint="eastAsia" w:ascii="宋体" w:hAnsi="宋体" w:eastAsia="宋体" w:cs="宋体"/>
          <w:color w:val="auto"/>
          <w:kern w:val="2"/>
          <w:sz w:val="21"/>
          <w:szCs w:val="21"/>
          <w:highlight w:val="yellow"/>
          <w:shd w:val="clear" w:color="auto" w:fill="FFFFFF"/>
          <w:lang w:val="en-US" w:eastAsia="zh-CN" w:bidi="ar"/>
        </w:rPr>
        <w:t>承包人在质量保修期内，按照有关法律规定和合同约定，承担工程质量保修责任。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Autospacing="0" w:afterAutospacing="0" w:line="450" w:lineRule="exact"/>
        <w:ind w:left="0" w:right="0" w:firstLine="420" w:firstLineChars="200"/>
        <w:jc w:val="left"/>
        <w:textAlignment w:val="auto"/>
        <w:rPr>
          <w:rFonts w:hint="eastAsia" w:ascii="宋体" w:hAnsi="宋体" w:eastAsia="宋体" w:cs="宋体"/>
          <w:color w:val="000000"/>
          <w:sz w:val="21"/>
          <w:szCs w:val="21"/>
          <w:highlight w:val="yellow"/>
        </w:rPr>
      </w:pPr>
      <w:r>
        <w:rPr>
          <w:rFonts w:hint="eastAsia" w:ascii="宋体" w:hAnsi="宋体" w:eastAsia="宋体" w:cs="宋体"/>
          <w:color w:val="auto"/>
          <w:kern w:val="2"/>
          <w:sz w:val="21"/>
          <w:szCs w:val="21"/>
          <w:highlight w:val="yellow"/>
          <w:shd w:val="clear" w:color="auto" w:fill="FFFFFF"/>
          <w:lang w:val="en-US" w:eastAsia="zh-CN" w:bidi="ar"/>
        </w:rPr>
        <w:t>质量保修范围包括地基基础工程、主体结构工程，屋面防水工程、有防水要求的卫生间、房间和外墙面的防渗漏，供热与供冷系统，电气管线、给排水管道、设备安装、装修工程，绿化工程、园林附属工程（园路与广场铺装、假山、叠石、置石、园林理水、园林设施安装），</w:t>
      </w:r>
      <w:r>
        <w:rPr>
          <w:rFonts w:hint="eastAsia" w:ascii="宋体" w:hAnsi="宋体" w:eastAsia="宋体" w:cs="宋体"/>
          <w:sz w:val="21"/>
          <w:szCs w:val="21"/>
          <w:highlight w:val="yellow"/>
        </w:rPr>
        <w:t>以及双方约定的其他项目。具体保修的内容，双方约定如下：</w:t>
      </w: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highlight w:val="yellow"/>
          <w:u w:val="single"/>
          <w:lang w:val="en-US" w:eastAsia="zh-CN"/>
        </w:rPr>
        <w:t xml:space="preserve">                 </w:t>
      </w:r>
      <w:r>
        <w:rPr>
          <w:rFonts w:hint="eastAsia" w:ascii="宋体" w:hAnsi="宋体" w:eastAsia="宋体" w:cs="宋体"/>
          <w:sz w:val="21"/>
          <w:szCs w:val="21"/>
          <w:highlight w:val="yellow"/>
          <w:u w:val="single"/>
        </w:rPr>
        <w:t xml:space="preserve"> </w:t>
      </w:r>
      <w:r>
        <w:rPr>
          <w:rFonts w:hint="eastAsia" w:ascii="宋体" w:hAnsi="宋体" w:eastAsia="宋体" w:cs="宋体"/>
          <w:color w:val="000000"/>
          <w:sz w:val="21"/>
          <w:szCs w:val="21"/>
          <w:highlight w:val="yellow"/>
        </w:rPr>
        <w:t>。</w:t>
      </w:r>
    </w:p>
    <w:p>
      <w:pPr>
        <w:snapToGrid w:val="0"/>
        <w:spacing w:line="360" w:lineRule="auto"/>
        <w:ind w:firstLine="600"/>
        <w:rPr>
          <w:rFonts w:hint="eastAsia" w:ascii="宋体" w:hAnsi="宋体" w:eastAsia="宋体" w:cs="宋体"/>
          <w:b/>
          <w:sz w:val="21"/>
          <w:szCs w:val="21"/>
          <w:highlight w:val="yellow"/>
        </w:rPr>
      </w:pPr>
      <w:r>
        <w:rPr>
          <w:rFonts w:hint="eastAsia" w:ascii="宋体" w:hAnsi="宋体" w:eastAsia="宋体" w:cs="宋体"/>
          <w:b/>
          <w:sz w:val="21"/>
          <w:szCs w:val="21"/>
          <w:highlight w:val="yellow"/>
        </w:rPr>
        <w:t>二、质量保修期</w:t>
      </w:r>
    </w:p>
    <w:p>
      <w:pPr>
        <w:snapToGrid w:val="0"/>
        <w:spacing w:line="360" w:lineRule="auto"/>
        <w:ind w:firstLine="600"/>
        <w:jc w:val="both"/>
        <w:rPr>
          <w:rFonts w:hint="eastAsia" w:ascii="宋体" w:hAnsi="宋体" w:eastAsia="宋体" w:cs="宋体"/>
          <w:sz w:val="21"/>
          <w:szCs w:val="21"/>
          <w:highlight w:val="yellow"/>
        </w:rPr>
      </w:pPr>
      <w:r>
        <w:rPr>
          <w:rFonts w:hint="eastAsia" w:ascii="宋体" w:hAnsi="宋体" w:eastAsia="宋体" w:cs="宋体"/>
          <w:sz w:val="21"/>
          <w:szCs w:val="21"/>
          <w:highlight w:val="yellow"/>
        </w:rPr>
        <w:t>工程的质量保修期如下：</w:t>
      </w:r>
    </w:p>
    <w:p>
      <w:pPr>
        <w:numPr>
          <w:ilvl w:val="0"/>
          <w:numId w:val="0"/>
        </w:numPr>
        <w:snapToGrid w:val="0"/>
        <w:spacing w:line="360" w:lineRule="auto"/>
        <w:jc w:val="both"/>
        <w:rPr>
          <w:rFonts w:hint="eastAsia" w:ascii="宋体" w:hAnsi="宋体" w:eastAsia="宋体" w:cs="宋体"/>
          <w:sz w:val="21"/>
          <w:szCs w:val="21"/>
          <w:highlight w:val="yellow"/>
        </w:rPr>
      </w:pPr>
      <w:r>
        <w:rPr>
          <w:rFonts w:hint="eastAsia" w:ascii="宋体" w:hAnsi="宋体" w:eastAsia="宋体" w:cs="宋体"/>
          <w:sz w:val="21"/>
          <w:szCs w:val="21"/>
          <w:highlight w:val="yellow"/>
          <w:lang w:val="en-US" w:eastAsia="zh-CN"/>
        </w:rPr>
        <w:t xml:space="preserve">   </w:t>
      </w:r>
      <w:r>
        <w:rPr>
          <w:rFonts w:hint="eastAsia" w:ascii="宋体" w:hAnsi="宋体" w:cs="宋体"/>
          <w:sz w:val="21"/>
          <w:szCs w:val="21"/>
          <w:highlight w:val="yellow"/>
          <w:lang w:val="en-US" w:eastAsia="zh-CN"/>
        </w:rPr>
        <w:t xml:space="preserve"> </w:t>
      </w:r>
      <w:r>
        <w:rPr>
          <w:rFonts w:hint="eastAsia" w:ascii="宋体" w:hAnsi="宋体" w:eastAsia="宋体" w:cs="宋体"/>
          <w:sz w:val="21"/>
          <w:szCs w:val="21"/>
          <w:highlight w:val="yellow"/>
          <w:lang w:val="en-US" w:eastAsia="zh-CN"/>
        </w:rPr>
        <w:t xml:space="preserve"> 1. </w:t>
      </w:r>
      <w:r>
        <w:rPr>
          <w:rFonts w:hint="eastAsia" w:ascii="宋体" w:hAnsi="宋体" w:eastAsia="宋体" w:cs="宋体"/>
          <w:sz w:val="21"/>
          <w:szCs w:val="21"/>
          <w:highlight w:val="yellow"/>
        </w:rPr>
        <w:t>地基基础工程和主体结构工程为设计文件规定的工程合理使用年限；</w:t>
      </w:r>
    </w:p>
    <w:p>
      <w:pPr>
        <w:snapToGrid w:val="0"/>
        <w:spacing w:line="360" w:lineRule="auto"/>
        <w:ind w:firstLine="600"/>
        <w:jc w:val="both"/>
        <w:rPr>
          <w:rFonts w:hint="eastAsia" w:ascii="宋体" w:hAnsi="宋体" w:eastAsia="宋体" w:cs="宋体"/>
          <w:sz w:val="21"/>
          <w:szCs w:val="21"/>
          <w:highlight w:val="yellow"/>
        </w:rPr>
      </w:pPr>
      <w:r>
        <w:rPr>
          <w:rFonts w:hint="eastAsia" w:ascii="宋体" w:hAnsi="宋体" w:eastAsia="宋体" w:cs="宋体"/>
          <w:sz w:val="21"/>
          <w:szCs w:val="21"/>
          <w:highlight w:val="yellow"/>
        </w:rPr>
        <w:t>2</w:t>
      </w:r>
      <w:r>
        <w:rPr>
          <w:rFonts w:hint="eastAsia" w:ascii="宋体" w:hAnsi="宋体" w:eastAsia="宋体" w:cs="宋体"/>
          <w:sz w:val="21"/>
          <w:szCs w:val="21"/>
          <w:highlight w:val="yellow"/>
          <w:lang w:val="en-US" w:eastAsia="zh-CN"/>
        </w:rPr>
        <w:t xml:space="preserve">. </w:t>
      </w:r>
      <w:r>
        <w:rPr>
          <w:rFonts w:hint="eastAsia" w:ascii="宋体" w:hAnsi="宋体" w:eastAsia="宋体" w:cs="宋体"/>
          <w:sz w:val="21"/>
          <w:szCs w:val="21"/>
          <w:highlight w:val="yellow"/>
        </w:rPr>
        <w:t>屋面防水工程、有防水要求的卫生间、房间和外墙面的防渗为</w:t>
      </w: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highlight w:val="yellow"/>
        </w:rPr>
        <w:t>年；其他防水工程</w:t>
      </w: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highlight w:val="yellow"/>
        </w:rPr>
        <w:t>年。</w:t>
      </w:r>
    </w:p>
    <w:p>
      <w:pPr>
        <w:snapToGrid w:val="0"/>
        <w:spacing w:line="360" w:lineRule="auto"/>
        <w:ind w:firstLine="600"/>
        <w:jc w:val="both"/>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3</w:t>
      </w:r>
      <w:r>
        <w:rPr>
          <w:rFonts w:hint="eastAsia" w:ascii="宋体" w:hAnsi="宋体" w:eastAsia="宋体" w:cs="宋体"/>
          <w:color w:val="000000"/>
          <w:sz w:val="21"/>
          <w:szCs w:val="21"/>
          <w:highlight w:val="yellow"/>
          <w:lang w:val="en-US" w:eastAsia="zh-CN"/>
        </w:rPr>
        <w:t xml:space="preserve">. </w:t>
      </w:r>
      <w:r>
        <w:rPr>
          <w:rFonts w:hint="eastAsia" w:ascii="宋体" w:hAnsi="宋体" w:eastAsia="宋体" w:cs="宋体"/>
          <w:color w:val="000000"/>
          <w:sz w:val="21"/>
          <w:szCs w:val="21"/>
          <w:highlight w:val="yellow"/>
        </w:rPr>
        <w:t>装修工程为</w:t>
      </w:r>
      <w:r>
        <w:rPr>
          <w:rFonts w:hint="eastAsia" w:ascii="宋体" w:hAnsi="宋体" w:eastAsia="宋体" w:cs="宋体"/>
          <w:color w:val="000000"/>
          <w:sz w:val="21"/>
          <w:szCs w:val="21"/>
          <w:highlight w:val="yellow"/>
          <w:u w:val="single"/>
        </w:rPr>
        <w:t xml:space="preserve">    </w:t>
      </w:r>
      <w:r>
        <w:rPr>
          <w:rFonts w:hint="eastAsia" w:ascii="宋体" w:hAnsi="宋体" w:eastAsia="宋体" w:cs="宋体"/>
          <w:color w:val="000000"/>
          <w:sz w:val="21"/>
          <w:szCs w:val="21"/>
          <w:highlight w:val="yellow"/>
        </w:rPr>
        <w:t>年；</w:t>
      </w:r>
    </w:p>
    <w:p>
      <w:pPr>
        <w:snapToGrid w:val="0"/>
        <w:spacing w:line="360" w:lineRule="auto"/>
        <w:ind w:firstLine="600"/>
        <w:jc w:val="both"/>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4</w:t>
      </w:r>
      <w:r>
        <w:rPr>
          <w:rFonts w:hint="eastAsia" w:ascii="宋体" w:hAnsi="宋体" w:eastAsia="宋体" w:cs="宋体"/>
          <w:color w:val="000000"/>
          <w:sz w:val="21"/>
          <w:szCs w:val="21"/>
          <w:highlight w:val="yellow"/>
          <w:lang w:val="en-US" w:eastAsia="zh-CN"/>
        </w:rPr>
        <w:t xml:space="preserve">. </w:t>
      </w:r>
      <w:r>
        <w:rPr>
          <w:rFonts w:hint="eastAsia" w:ascii="宋体" w:hAnsi="宋体" w:eastAsia="宋体" w:cs="宋体"/>
          <w:color w:val="000000"/>
          <w:sz w:val="21"/>
          <w:szCs w:val="21"/>
          <w:highlight w:val="yellow"/>
        </w:rPr>
        <w:t>电气管线、给排水管道、设备安装工程为</w:t>
      </w:r>
      <w:r>
        <w:rPr>
          <w:rFonts w:hint="eastAsia" w:ascii="宋体" w:hAnsi="宋体" w:eastAsia="宋体" w:cs="宋体"/>
          <w:color w:val="000000"/>
          <w:sz w:val="21"/>
          <w:szCs w:val="21"/>
          <w:highlight w:val="yellow"/>
          <w:u w:val="single"/>
        </w:rPr>
        <w:t xml:space="preserve">  </w:t>
      </w:r>
      <w:r>
        <w:rPr>
          <w:rFonts w:hint="eastAsia" w:ascii="宋体" w:hAnsi="宋体" w:eastAsia="宋体" w:cs="宋体"/>
          <w:color w:val="000000"/>
          <w:sz w:val="21"/>
          <w:szCs w:val="21"/>
          <w:highlight w:val="yellow"/>
          <w:u w:val="single"/>
          <w:lang w:val="en-US" w:eastAsia="zh-CN"/>
        </w:rPr>
        <w:t xml:space="preserve"> </w:t>
      </w:r>
      <w:r>
        <w:rPr>
          <w:rFonts w:hint="eastAsia" w:ascii="宋体" w:hAnsi="宋体" w:eastAsia="宋体" w:cs="宋体"/>
          <w:color w:val="000000"/>
          <w:sz w:val="21"/>
          <w:szCs w:val="21"/>
          <w:highlight w:val="yellow"/>
          <w:u w:val="single"/>
        </w:rPr>
        <w:t xml:space="preserve"> </w:t>
      </w:r>
      <w:r>
        <w:rPr>
          <w:rFonts w:hint="eastAsia" w:ascii="宋体" w:hAnsi="宋体" w:eastAsia="宋体" w:cs="宋体"/>
          <w:color w:val="000000"/>
          <w:sz w:val="21"/>
          <w:szCs w:val="21"/>
          <w:highlight w:val="yellow"/>
        </w:rPr>
        <w:t>年；</w:t>
      </w:r>
    </w:p>
    <w:p>
      <w:pPr>
        <w:snapToGrid w:val="0"/>
        <w:spacing w:line="360" w:lineRule="auto"/>
        <w:ind w:firstLine="600"/>
        <w:jc w:val="both"/>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5．供热与供冷系统为</w:t>
      </w:r>
      <w:r>
        <w:rPr>
          <w:rFonts w:hint="eastAsia" w:ascii="宋体" w:hAnsi="宋体" w:eastAsia="宋体" w:cs="宋体"/>
          <w:color w:val="000000"/>
          <w:sz w:val="21"/>
          <w:szCs w:val="21"/>
          <w:highlight w:val="yellow"/>
          <w:u w:val="single"/>
        </w:rPr>
        <w:t xml:space="preserve">    </w:t>
      </w:r>
      <w:r>
        <w:rPr>
          <w:rFonts w:hint="eastAsia" w:ascii="宋体" w:hAnsi="宋体" w:eastAsia="宋体" w:cs="宋体"/>
          <w:color w:val="000000"/>
          <w:sz w:val="21"/>
          <w:szCs w:val="21"/>
          <w:highlight w:val="yellow"/>
        </w:rPr>
        <w:t>个采暖期、供冷期；</w:t>
      </w:r>
    </w:p>
    <w:p>
      <w:pPr>
        <w:snapToGrid w:val="0"/>
        <w:spacing w:line="360" w:lineRule="auto"/>
        <w:ind w:firstLine="600"/>
        <w:jc w:val="both"/>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6. 绿化工程为</w:t>
      </w:r>
      <w:r>
        <w:rPr>
          <w:rFonts w:hint="eastAsia" w:ascii="宋体" w:hAnsi="宋体" w:eastAsia="宋体" w:cs="宋体"/>
          <w:color w:val="000000"/>
          <w:sz w:val="21"/>
          <w:szCs w:val="21"/>
          <w:highlight w:val="yellow"/>
          <w:u w:val="single"/>
        </w:rPr>
        <w:t xml:space="preserve">  </w:t>
      </w:r>
      <w:r>
        <w:rPr>
          <w:rFonts w:hint="eastAsia" w:ascii="宋体" w:hAnsi="宋体" w:eastAsia="宋体" w:cs="宋体"/>
          <w:color w:val="000000"/>
          <w:sz w:val="21"/>
          <w:szCs w:val="21"/>
          <w:highlight w:val="yellow"/>
          <w:u w:val="single"/>
          <w:lang w:val="en-US" w:eastAsia="zh-CN"/>
        </w:rPr>
        <w:t>12</w:t>
      </w:r>
      <w:r>
        <w:rPr>
          <w:rFonts w:hint="eastAsia" w:ascii="宋体" w:hAnsi="宋体" w:eastAsia="宋体" w:cs="宋体"/>
          <w:color w:val="000000"/>
          <w:sz w:val="21"/>
          <w:szCs w:val="21"/>
          <w:highlight w:val="yellow"/>
          <w:u w:val="single"/>
        </w:rPr>
        <w:t xml:space="preserve">  </w:t>
      </w:r>
      <w:r>
        <w:rPr>
          <w:rFonts w:hint="eastAsia" w:ascii="宋体" w:hAnsi="宋体" w:eastAsia="宋体" w:cs="宋体"/>
          <w:color w:val="000000"/>
          <w:sz w:val="21"/>
          <w:szCs w:val="21"/>
          <w:highlight w:val="yellow"/>
        </w:rPr>
        <w:t>个月；</w:t>
      </w:r>
    </w:p>
    <w:p>
      <w:pPr>
        <w:snapToGrid w:val="0"/>
        <w:spacing w:line="360" w:lineRule="auto"/>
        <w:ind w:firstLine="600"/>
        <w:jc w:val="both"/>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7. 园林附属工程为</w:t>
      </w:r>
      <w:r>
        <w:rPr>
          <w:rFonts w:hint="eastAsia" w:ascii="宋体" w:hAnsi="宋体" w:eastAsia="宋体" w:cs="宋体"/>
          <w:color w:val="000000"/>
          <w:sz w:val="21"/>
          <w:szCs w:val="21"/>
          <w:highlight w:val="yellow"/>
          <w:u w:val="single"/>
        </w:rPr>
        <w:t xml:space="preserve">      </w:t>
      </w:r>
      <w:r>
        <w:rPr>
          <w:rFonts w:hint="eastAsia" w:ascii="宋体" w:hAnsi="宋体" w:eastAsia="宋体" w:cs="宋体"/>
          <w:color w:val="000000"/>
          <w:sz w:val="21"/>
          <w:szCs w:val="21"/>
          <w:highlight w:val="yellow"/>
        </w:rPr>
        <w:t>个月；</w:t>
      </w:r>
    </w:p>
    <w:p>
      <w:pPr>
        <w:snapToGrid w:val="0"/>
        <w:spacing w:line="360" w:lineRule="auto"/>
        <w:ind w:firstLine="600"/>
        <w:jc w:val="both"/>
        <w:rPr>
          <w:rFonts w:hint="eastAsia" w:ascii="宋体" w:hAnsi="宋体" w:eastAsia="宋体" w:cs="宋体"/>
          <w:sz w:val="21"/>
          <w:szCs w:val="21"/>
          <w:highlight w:val="yellow"/>
          <w:u w:val="none"/>
          <w:lang w:val="en-US" w:eastAsia="zh-CN"/>
        </w:rPr>
      </w:pPr>
      <w:r>
        <w:rPr>
          <w:rFonts w:hint="eastAsia" w:ascii="宋体" w:hAnsi="宋体" w:eastAsia="宋体" w:cs="宋体"/>
          <w:color w:val="000000"/>
          <w:sz w:val="21"/>
          <w:szCs w:val="21"/>
          <w:highlight w:val="yellow"/>
        </w:rPr>
        <w:t>8. 其他项目保修期限约定如下：</w:t>
      </w:r>
      <w:r>
        <w:rPr>
          <w:rFonts w:hint="eastAsia" w:ascii="宋体" w:hAnsi="宋体" w:eastAsia="宋体" w:cs="宋体"/>
          <w:color w:val="000000"/>
          <w:sz w:val="21"/>
          <w:szCs w:val="21"/>
          <w:highlight w:val="yellow"/>
          <w:u w:val="single"/>
        </w:rPr>
        <w:t xml:space="preserve">                  </w:t>
      </w:r>
      <w:r>
        <w:rPr>
          <w:rFonts w:hint="eastAsia" w:ascii="宋体" w:hAnsi="宋体" w:eastAsia="宋体" w:cs="宋体"/>
          <w:color w:val="000000"/>
          <w:sz w:val="21"/>
          <w:szCs w:val="21"/>
          <w:highlight w:val="yellow"/>
          <w:u w:val="single"/>
          <w:lang w:val="en-US" w:eastAsia="zh-CN"/>
        </w:rPr>
        <w:t xml:space="preserve">  </w:t>
      </w:r>
      <w:r>
        <w:rPr>
          <w:rFonts w:hint="eastAsia" w:ascii="宋体" w:hAnsi="宋体" w:eastAsia="宋体" w:cs="宋体"/>
          <w:color w:val="000000"/>
          <w:sz w:val="21"/>
          <w:szCs w:val="21"/>
          <w:highlight w:val="yellow"/>
          <w:u w:val="single"/>
        </w:rPr>
        <w:t xml:space="preserve">  </w:t>
      </w:r>
      <w:r>
        <w:rPr>
          <w:rFonts w:hint="eastAsia" w:ascii="宋体" w:hAnsi="宋体" w:eastAsia="宋体" w:cs="宋体"/>
          <w:color w:val="000000"/>
          <w:sz w:val="21"/>
          <w:szCs w:val="21"/>
          <w:highlight w:val="yellow"/>
        </w:rPr>
        <w:t>。</w:t>
      </w:r>
    </w:p>
    <w:p>
      <w:pPr>
        <w:snapToGrid w:val="0"/>
        <w:spacing w:line="360" w:lineRule="auto"/>
        <w:ind w:firstLine="600"/>
        <w:jc w:val="both"/>
        <w:rPr>
          <w:rFonts w:hint="eastAsia" w:ascii="宋体" w:hAnsi="宋体" w:eastAsia="宋体" w:cs="宋体"/>
          <w:sz w:val="21"/>
          <w:szCs w:val="21"/>
          <w:highlight w:val="yellow"/>
        </w:rPr>
      </w:pPr>
      <w:r>
        <w:rPr>
          <w:rFonts w:hint="eastAsia" w:ascii="宋体" w:hAnsi="宋体" w:eastAsia="宋体" w:cs="宋体"/>
          <w:sz w:val="21"/>
          <w:szCs w:val="21"/>
          <w:highlight w:val="yellow"/>
        </w:rPr>
        <w:t>质量保修期自工程竣工验收合格之日起计算。</w:t>
      </w:r>
    </w:p>
    <w:p>
      <w:pPr>
        <w:numPr>
          <w:ilvl w:val="0"/>
          <w:numId w:val="0"/>
        </w:numPr>
        <w:snapToGrid w:val="0"/>
        <w:spacing w:line="360" w:lineRule="auto"/>
        <w:jc w:val="both"/>
        <w:rPr>
          <w:rFonts w:hint="eastAsia" w:ascii="宋体" w:hAnsi="宋体" w:eastAsia="宋体" w:cs="宋体"/>
          <w:b/>
          <w:sz w:val="21"/>
          <w:szCs w:val="21"/>
          <w:highlight w:val="yellow"/>
        </w:rPr>
      </w:pPr>
      <w:r>
        <w:rPr>
          <w:rFonts w:hint="eastAsia" w:ascii="宋体" w:hAnsi="宋体" w:cs="宋体"/>
          <w:b/>
          <w:sz w:val="21"/>
          <w:szCs w:val="21"/>
          <w:highlight w:val="yellow"/>
          <w:lang w:eastAsia="zh-CN"/>
        </w:rPr>
        <w:t>三、</w:t>
      </w:r>
      <w:r>
        <w:rPr>
          <w:rFonts w:hint="eastAsia" w:ascii="宋体" w:hAnsi="宋体" w:eastAsia="宋体" w:cs="宋体"/>
          <w:b/>
          <w:sz w:val="21"/>
          <w:szCs w:val="21"/>
          <w:highlight w:val="yellow"/>
        </w:rPr>
        <w:t>缺陷责任期</w:t>
      </w:r>
    </w:p>
    <w:p>
      <w:pPr>
        <w:numPr>
          <w:ilvl w:val="0"/>
          <w:numId w:val="0"/>
        </w:numPr>
        <w:snapToGrid w:val="0"/>
        <w:spacing w:line="360" w:lineRule="auto"/>
        <w:ind w:firstLine="420" w:firstLineChars="200"/>
        <w:jc w:val="both"/>
        <w:rPr>
          <w:rFonts w:hint="eastAsia" w:ascii="宋体" w:hAnsi="宋体" w:eastAsia="宋体" w:cs="宋体"/>
          <w:sz w:val="21"/>
          <w:szCs w:val="21"/>
          <w:highlight w:val="yellow"/>
        </w:rPr>
      </w:pPr>
      <w:r>
        <w:rPr>
          <w:rFonts w:hint="eastAsia" w:ascii="宋体" w:hAnsi="宋体" w:eastAsia="宋体" w:cs="宋体"/>
          <w:sz w:val="21"/>
          <w:szCs w:val="21"/>
          <w:highlight w:val="yellow"/>
        </w:rPr>
        <w:t>工程缺陷责任期为</w:t>
      </w: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highlight w:val="yellow"/>
          <w:u w:val="single"/>
          <w:lang w:val="en-US" w:eastAsia="zh-CN"/>
        </w:rPr>
        <w:t>12</w:t>
      </w: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highlight w:val="yellow"/>
        </w:rPr>
        <w:t>个月，缺陷责任期自工程竣工验收合格之日起计算。单位工程先于全部工程进行验收，单位工程缺陷责任期自单位工程验收合格之日起算。</w:t>
      </w:r>
    </w:p>
    <w:p>
      <w:pPr>
        <w:numPr>
          <w:ilvl w:val="0"/>
          <w:numId w:val="0"/>
        </w:numPr>
        <w:snapToGrid w:val="0"/>
        <w:spacing w:line="360" w:lineRule="auto"/>
        <w:ind w:firstLine="420" w:firstLineChars="200"/>
        <w:jc w:val="both"/>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缺陷责任期终止后，发包人应退还剩余的质量保证金。</w:t>
      </w:r>
    </w:p>
    <w:p>
      <w:pPr>
        <w:numPr>
          <w:ilvl w:val="0"/>
          <w:numId w:val="0"/>
        </w:numPr>
        <w:snapToGrid w:val="0"/>
        <w:spacing w:line="360" w:lineRule="auto"/>
        <w:ind w:left="600" w:leftChars="0"/>
        <w:jc w:val="both"/>
        <w:rPr>
          <w:rFonts w:hint="eastAsia" w:ascii="宋体" w:hAnsi="宋体" w:eastAsia="宋体" w:cs="宋体"/>
          <w:b/>
          <w:sz w:val="21"/>
          <w:szCs w:val="21"/>
          <w:highlight w:val="yellow"/>
        </w:rPr>
      </w:pPr>
      <w:r>
        <w:rPr>
          <w:rFonts w:hint="eastAsia" w:ascii="宋体" w:hAnsi="宋体" w:cs="宋体"/>
          <w:b/>
          <w:sz w:val="21"/>
          <w:szCs w:val="21"/>
          <w:highlight w:val="yellow"/>
          <w:lang w:eastAsia="zh-CN"/>
        </w:rPr>
        <w:t>四、</w:t>
      </w:r>
      <w:r>
        <w:rPr>
          <w:rFonts w:hint="eastAsia" w:ascii="宋体" w:hAnsi="宋体" w:eastAsia="宋体" w:cs="宋体"/>
          <w:b/>
          <w:sz w:val="21"/>
          <w:szCs w:val="21"/>
          <w:highlight w:val="yellow"/>
        </w:rPr>
        <w:t>质量保修责任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Autospacing="0" w:afterAutospacing="0" w:line="450" w:lineRule="exact"/>
        <w:ind w:left="0" w:right="0" w:firstLine="420" w:firstLineChars="200"/>
        <w:jc w:val="left"/>
        <w:textAlignment w:val="auto"/>
        <w:rPr>
          <w:rFonts w:hint="eastAsia" w:ascii="宋体" w:hAnsi="宋体" w:eastAsia="宋体" w:cs="宋体"/>
          <w:color w:val="auto"/>
          <w:kern w:val="2"/>
          <w:sz w:val="21"/>
          <w:szCs w:val="21"/>
          <w:highlight w:val="yellow"/>
          <w:shd w:val="clear" w:color="auto" w:fill="FFFFFF"/>
          <w:lang w:val="en-US" w:eastAsia="zh-CN" w:bidi="ar"/>
        </w:rPr>
      </w:pPr>
      <w:r>
        <w:rPr>
          <w:rFonts w:hint="eastAsia" w:ascii="宋体" w:hAnsi="宋体" w:eastAsia="宋体" w:cs="宋体"/>
          <w:color w:val="auto"/>
          <w:kern w:val="2"/>
          <w:sz w:val="21"/>
          <w:szCs w:val="21"/>
          <w:highlight w:val="yellow"/>
          <w:shd w:val="clear" w:color="auto" w:fill="FFFFFF"/>
          <w:lang w:val="en-US" w:eastAsia="zh-CN" w:bidi="ar"/>
        </w:rPr>
        <w:t>1.属于保修范围、内容的项目，承包人应当在接到保修通知之日起7天内派人保修。承包人不在约定期限内派人保修的，发包人可以委托他人修理，费用由承包人承担，从质量保证金中扣除。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Autospacing="0" w:afterAutospacing="0" w:line="450" w:lineRule="exact"/>
        <w:ind w:left="0" w:right="0" w:firstLine="420" w:firstLineChars="200"/>
        <w:jc w:val="left"/>
        <w:textAlignment w:val="auto"/>
        <w:rPr>
          <w:rFonts w:hint="eastAsia" w:ascii="宋体" w:hAnsi="宋体" w:eastAsia="宋体" w:cs="宋体"/>
          <w:color w:val="auto"/>
          <w:kern w:val="2"/>
          <w:sz w:val="21"/>
          <w:szCs w:val="21"/>
          <w:highlight w:val="yellow"/>
          <w:shd w:val="clear" w:color="auto" w:fill="FFFFFF"/>
          <w:lang w:val="en-US" w:eastAsia="zh-CN" w:bidi="ar"/>
        </w:rPr>
      </w:pPr>
      <w:r>
        <w:rPr>
          <w:rFonts w:hint="eastAsia" w:ascii="宋体" w:hAnsi="宋体" w:eastAsia="宋体" w:cs="宋体"/>
          <w:color w:val="auto"/>
          <w:kern w:val="2"/>
          <w:sz w:val="21"/>
          <w:szCs w:val="21"/>
          <w:highlight w:val="yellow"/>
          <w:shd w:val="clear" w:color="auto" w:fill="FFFFFF"/>
          <w:lang w:val="en-US" w:eastAsia="zh-CN" w:bidi="ar"/>
        </w:rPr>
        <w:t>2.发生紧急事故需抢修的，承包人在接到事故通知后，应当立即到达事故现场抢修。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Autospacing="0" w:afterAutospacing="0" w:line="450" w:lineRule="exact"/>
        <w:ind w:left="0" w:right="0" w:firstLine="420" w:firstLineChars="200"/>
        <w:jc w:val="left"/>
        <w:textAlignment w:val="auto"/>
        <w:rPr>
          <w:rFonts w:hint="eastAsia" w:ascii="宋体" w:hAnsi="宋体" w:eastAsia="宋体" w:cs="宋体"/>
          <w:color w:val="auto"/>
          <w:kern w:val="2"/>
          <w:sz w:val="21"/>
          <w:szCs w:val="21"/>
          <w:highlight w:val="yellow"/>
          <w:shd w:val="clear" w:color="auto" w:fill="FFFFFF"/>
          <w:lang w:val="en-US" w:eastAsia="zh-CN" w:bidi="ar"/>
        </w:rPr>
      </w:pPr>
      <w:r>
        <w:rPr>
          <w:rFonts w:hint="eastAsia" w:ascii="宋体" w:hAnsi="宋体" w:eastAsia="宋体" w:cs="宋体"/>
          <w:color w:val="auto"/>
          <w:kern w:val="2"/>
          <w:sz w:val="21"/>
          <w:szCs w:val="21"/>
          <w:highlight w:val="yellow"/>
          <w:shd w:val="clear" w:color="auto" w:fill="FFFFFF"/>
          <w:lang w:val="en-US" w:eastAsia="zh-CN" w:bidi="ar"/>
        </w:rPr>
        <w:t>3.对于涉及结构安全的质量问题，应当按照《建设工程质量管理条例》的规定，立即向当地住房和城乡建设行政主管部门及有关部门报告，采取安全防范措施，并由原设计人或者具有相应资质等级的设计人提出保修方案，承包人实施保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Autospacing="0" w:afterAutospacing="0" w:line="450" w:lineRule="exact"/>
        <w:ind w:left="0" w:right="0" w:firstLine="420" w:firstLineChars="200"/>
        <w:jc w:val="left"/>
        <w:textAlignment w:val="auto"/>
        <w:rPr>
          <w:rFonts w:hint="eastAsia" w:ascii="宋体" w:hAnsi="宋体" w:eastAsia="宋体" w:cs="宋体"/>
          <w:color w:val="auto"/>
          <w:kern w:val="2"/>
          <w:sz w:val="21"/>
          <w:szCs w:val="21"/>
          <w:highlight w:val="yellow"/>
          <w:shd w:val="clear" w:color="auto" w:fill="FFFFFF"/>
          <w:lang w:val="en-US" w:eastAsia="zh-CN" w:bidi="ar"/>
        </w:rPr>
      </w:pPr>
      <w:r>
        <w:rPr>
          <w:rFonts w:hint="eastAsia" w:ascii="宋体" w:hAnsi="宋体" w:eastAsia="宋体" w:cs="宋体"/>
          <w:color w:val="auto"/>
          <w:kern w:val="2"/>
          <w:sz w:val="21"/>
          <w:szCs w:val="21"/>
          <w:highlight w:val="yellow"/>
          <w:shd w:val="clear" w:color="auto" w:fill="FFFFFF"/>
          <w:lang w:val="en-US" w:eastAsia="zh-CN" w:bidi="ar"/>
        </w:rPr>
        <w:t>4.在工程质量保修期内，未能在合理期限对工程质量问题进行修复，或拒绝按要求进行修复的，承包人应向发包人支付修复工程支出的实际金额。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Autospacing="0" w:afterAutospacing="0" w:line="450" w:lineRule="exact"/>
        <w:ind w:left="0" w:right="0" w:firstLine="420" w:firstLineChars="200"/>
        <w:jc w:val="left"/>
        <w:textAlignment w:val="auto"/>
        <w:rPr>
          <w:rFonts w:hint="eastAsia" w:ascii="宋体" w:hAnsi="宋体" w:eastAsia="宋体" w:cs="宋体"/>
          <w:color w:val="auto"/>
          <w:kern w:val="2"/>
          <w:sz w:val="21"/>
          <w:szCs w:val="21"/>
          <w:highlight w:val="yellow"/>
          <w:shd w:val="clear" w:color="auto" w:fill="FFFFFF"/>
          <w:lang w:val="en-US" w:eastAsia="zh-CN" w:bidi="ar"/>
        </w:rPr>
      </w:pPr>
      <w:r>
        <w:rPr>
          <w:rFonts w:hint="eastAsia" w:ascii="宋体" w:hAnsi="宋体" w:eastAsia="宋体" w:cs="宋体"/>
          <w:color w:val="auto"/>
          <w:kern w:val="2"/>
          <w:sz w:val="21"/>
          <w:szCs w:val="21"/>
          <w:highlight w:val="yellow"/>
          <w:shd w:val="clear" w:color="auto" w:fill="FFFFFF"/>
          <w:lang w:val="en-US" w:eastAsia="zh-CN" w:bidi="ar"/>
        </w:rPr>
        <w:t>5.质量保修完成后，由发包人组织验收。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600" w:leftChars="0"/>
        <w:jc w:val="both"/>
        <w:textAlignment w:val="auto"/>
        <w:outlineLvl w:val="9"/>
        <w:rPr>
          <w:rFonts w:hint="eastAsia" w:ascii="宋体" w:hAnsi="宋体" w:eastAsia="宋体" w:cs="宋体"/>
          <w:sz w:val="21"/>
          <w:szCs w:val="21"/>
          <w:highlight w:val="yellow"/>
          <w:u w:val="single"/>
        </w:rPr>
      </w:pPr>
      <w:r>
        <w:rPr>
          <w:rFonts w:hint="eastAsia" w:ascii="宋体" w:hAnsi="宋体" w:eastAsia="宋体" w:cs="宋体"/>
          <w:b/>
          <w:sz w:val="21"/>
          <w:szCs w:val="21"/>
          <w:highlight w:val="yellow"/>
          <w:lang w:eastAsia="zh-CN"/>
        </w:rPr>
        <w:t>五、</w:t>
      </w:r>
      <w:r>
        <w:rPr>
          <w:rFonts w:hint="eastAsia" w:ascii="宋体" w:hAnsi="宋体" w:eastAsia="宋体" w:cs="宋体"/>
          <w:b/>
          <w:sz w:val="21"/>
          <w:szCs w:val="21"/>
          <w:highlight w:val="yellow"/>
        </w:rPr>
        <w:t>双方约定的其他工程质量保修项</w:t>
      </w:r>
      <w:r>
        <w:rPr>
          <w:rFonts w:hint="eastAsia" w:ascii="宋体" w:hAnsi="宋体" w:eastAsia="宋体" w:cs="宋体"/>
          <w:sz w:val="21"/>
          <w:szCs w:val="21"/>
          <w:highlight w:val="yellow"/>
        </w:rPr>
        <w:t>：</w:t>
      </w: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highlight w:val="yellow"/>
          <w:u w:val="single"/>
          <w:lang w:val="en-US" w:eastAsia="zh-CN"/>
        </w:rPr>
        <w:t xml:space="preserve">  </w:t>
      </w:r>
      <w:r>
        <w:rPr>
          <w:rFonts w:hint="eastAsia" w:ascii="宋体" w:hAnsi="宋体" w:eastAsia="宋体" w:cs="宋体"/>
          <w:sz w:val="21"/>
          <w:szCs w:val="21"/>
          <w:highlight w:val="yellow"/>
          <w:u w:val="single"/>
        </w:rPr>
        <w:t xml:space="preserve">        </w:t>
      </w:r>
      <w:r>
        <w:rPr>
          <w:rFonts w:hint="eastAsia" w:ascii="宋体" w:hAnsi="宋体" w:eastAsia="宋体" w:cs="宋体"/>
          <w:color w:val="000000"/>
          <w:sz w:val="21"/>
          <w:szCs w:val="21"/>
          <w:highlight w:val="yellow"/>
          <w:u w:val="single"/>
        </w:rPr>
        <w:t xml:space="preserve">  </w:t>
      </w:r>
      <w:r>
        <w:rPr>
          <w:rFonts w:hint="eastAsia" w:ascii="宋体" w:hAnsi="宋体" w:eastAsia="宋体" w:cs="宋体"/>
          <w:color w:val="000000"/>
          <w:sz w:val="21"/>
          <w:szCs w:val="21"/>
          <w:highlight w:val="yellow"/>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sz w:val="21"/>
          <w:szCs w:val="21"/>
          <w:highlight w:val="yellow"/>
        </w:rPr>
      </w:pPr>
      <w:r>
        <w:rPr>
          <w:rFonts w:hint="eastAsia" w:ascii="宋体" w:hAnsi="宋体" w:eastAsia="宋体" w:cs="宋体"/>
          <w:sz w:val="21"/>
          <w:szCs w:val="21"/>
          <w:highlight w:val="yellow"/>
        </w:rPr>
        <w:t>工程质量保修书由发包人、承包人在工程竣工验收前共同签署，作为施工合同附件，其有效期限至保修期满。 </w:t>
      </w:r>
    </w:p>
    <w:p>
      <w:pPr>
        <w:outlineLvl w:val="9"/>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2336" behindDoc="0" locked="0" layoutInCell="1" allowOverlap="1">
                <wp:simplePos x="0" y="0"/>
                <wp:positionH relativeFrom="column">
                  <wp:posOffset>2606675</wp:posOffset>
                </wp:positionH>
                <wp:positionV relativeFrom="paragraph">
                  <wp:posOffset>196850</wp:posOffset>
                </wp:positionV>
                <wp:extent cx="2586990" cy="3736975"/>
                <wp:effectExtent l="0" t="0" r="3810" b="15875"/>
                <wp:wrapNone/>
                <wp:docPr id="15" name="文本框 7"/>
                <wp:cNvGraphicFramePr/>
                <a:graphic xmlns:a="http://schemas.openxmlformats.org/drawingml/2006/main">
                  <a:graphicData uri="http://schemas.microsoft.com/office/word/2010/wordprocessingShape">
                    <wps:wsp>
                      <wps:cNvSpPr txBox="1"/>
                      <wps:spPr>
                        <a:xfrm>
                          <a:off x="0" y="0"/>
                          <a:ext cx="2586990" cy="3736975"/>
                        </a:xfrm>
                        <a:prstGeom prst="rect">
                          <a:avLst/>
                        </a:prstGeom>
                        <a:solidFill>
                          <a:srgbClr val="FFFFFF"/>
                        </a:solidFill>
                        <a:ln>
                          <a:noFill/>
                        </a:ln>
                      </wps:spPr>
                      <wps:txbx>
                        <w:txbxContent>
                          <w:p>
                            <w:pPr>
                              <w:spacing w:line="360" w:lineRule="auto"/>
                              <w:ind w:firstLine="560"/>
                              <w:rPr>
                                <w:rFonts w:hint="eastAsia" w:ascii="宋体" w:hAnsi="宋体" w:eastAsia="宋体" w:cs="宋体"/>
                                <w:sz w:val="21"/>
                                <w:szCs w:val="21"/>
                                <w:lang w:eastAsia="zh-CN"/>
                              </w:rPr>
                            </w:pPr>
                            <w:r>
                              <w:rPr>
                                <w:rFonts w:hint="eastAsia" w:ascii="宋体" w:hAnsi="宋体" w:eastAsia="宋体" w:cs="宋体"/>
                                <w:sz w:val="21"/>
                                <w:szCs w:val="21"/>
                              </w:rPr>
                              <w:t>承包人：</w:t>
                            </w:r>
                            <w:r>
                              <w:rPr>
                                <w:rFonts w:hint="eastAsia" w:ascii="宋体" w:hAnsi="宋体" w:eastAsia="宋体" w:cs="宋体"/>
                                <w:sz w:val="21"/>
                                <w:szCs w:val="21"/>
                                <w:lang w:eastAsia="zh-CN"/>
                              </w:rPr>
                              <w:t>（</w:t>
                            </w:r>
                            <w:r>
                              <w:rPr>
                                <w:rFonts w:hint="eastAsia" w:ascii="宋体" w:hAnsi="宋体" w:eastAsia="宋体" w:cs="宋体"/>
                                <w:sz w:val="21"/>
                                <w:szCs w:val="21"/>
                              </w:rPr>
                              <w:t>公章</w:t>
                            </w:r>
                            <w:r>
                              <w:rPr>
                                <w:rFonts w:hint="eastAsia" w:ascii="宋体" w:hAnsi="宋体" w:eastAsia="宋体" w:cs="宋体"/>
                                <w:sz w:val="21"/>
                                <w:szCs w:val="21"/>
                                <w:lang w:eastAsia="zh-CN"/>
                              </w:rPr>
                              <w:t>）</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法定代表人或其委托代理人：（签字）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社会统一信用代码证号：</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传  真：</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w:t>
                            </w:r>
                          </w:p>
                          <w:p>
                            <w:pPr>
                              <w:spacing w:line="360" w:lineRule="auto"/>
                              <w:ind w:firstLine="560"/>
                              <w:rPr>
                                <w:sz w:val="28"/>
                                <w:szCs w:val="28"/>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日</w:t>
                            </w:r>
                          </w:p>
                        </w:txbxContent>
                      </wps:txbx>
                      <wps:bodyPr wrap="square" upright="1"/>
                    </wps:wsp>
                  </a:graphicData>
                </a:graphic>
              </wp:anchor>
            </w:drawing>
          </mc:Choice>
          <mc:Fallback>
            <w:pict>
              <v:shape id="文本框 7" o:spid="_x0000_s1026" o:spt="202" type="#_x0000_t202" style="position:absolute;left:0pt;margin-left:205.25pt;margin-top:15.5pt;height:294.25pt;width:203.7pt;z-index:251662336;mso-width-relative:page;mso-height-relative:page;" fillcolor="#FFFFFF" filled="t" stroked="f" coordsize="21600,21600" o:gfxdata="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&#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8tizO2AAAAAoBAAAPAAAAAAAAAAEAIAAAACIAAABk&#10;cnMvZG93bnJldi54bWxQSwECFAAUAAAACACHTuJAAuKX7M0BAACHAwAADgAAAAAAAAABACAAAAAn&#10;AQAAZHJzL2Uyb0RvYy54bWxQSwUGAAAAAAYABgBZAQAAZgUAAAAA&#10;">
                <v:fill on="t" focussize="0,0"/>
                <v:stroke on="f"/>
                <v:imagedata o:title=""/>
                <o:lock v:ext="edit" aspectratio="f"/>
                <v:textbox>
                  <w:txbxContent>
                    <w:p>
                      <w:pPr>
                        <w:spacing w:line="360" w:lineRule="auto"/>
                        <w:ind w:firstLine="560"/>
                        <w:rPr>
                          <w:rFonts w:hint="eastAsia" w:ascii="宋体" w:hAnsi="宋体" w:eastAsia="宋体" w:cs="宋体"/>
                          <w:sz w:val="21"/>
                          <w:szCs w:val="21"/>
                          <w:lang w:eastAsia="zh-CN"/>
                        </w:rPr>
                      </w:pPr>
                      <w:r>
                        <w:rPr>
                          <w:rFonts w:hint="eastAsia" w:ascii="宋体" w:hAnsi="宋体" w:eastAsia="宋体" w:cs="宋体"/>
                          <w:sz w:val="21"/>
                          <w:szCs w:val="21"/>
                        </w:rPr>
                        <w:t>承包人：</w:t>
                      </w:r>
                      <w:r>
                        <w:rPr>
                          <w:rFonts w:hint="eastAsia" w:ascii="宋体" w:hAnsi="宋体" w:eastAsia="宋体" w:cs="宋体"/>
                          <w:sz w:val="21"/>
                          <w:szCs w:val="21"/>
                          <w:lang w:eastAsia="zh-CN"/>
                        </w:rPr>
                        <w:t>（</w:t>
                      </w:r>
                      <w:r>
                        <w:rPr>
                          <w:rFonts w:hint="eastAsia" w:ascii="宋体" w:hAnsi="宋体" w:eastAsia="宋体" w:cs="宋体"/>
                          <w:sz w:val="21"/>
                          <w:szCs w:val="21"/>
                        </w:rPr>
                        <w:t>公章</w:t>
                      </w:r>
                      <w:r>
                        <w:rPr>
                          <w:rFonts w:hint="eastAsia" w:ascii="宋体" w:hAnsi="宋体" w:eastAsia="宋体" w:cs="宋体"/>
                          <w:sz w:val="21"/>
                          <w:szCs w:val="21"/>
                          <w:lang w:eastAsia="zh-CN"/>
                        </w:rPr>
                        <w:t>）</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法定代表人或其委托代理人：（签字）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社会统一信用代码证号：</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传  真：</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w:t>
                      </w:r>
                    </w:p>
                    <w:p>
                      <w:pPr>
                        <w:spacing w:line="360" w:lineRule="auto"/>
                        <w:ind w:firstLine="560"/>
                        <w:rPr>
                          <w:sz w:val="28"/>
                          <w:szCs w:val="28"/>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日</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3360" behindDoc="0" locked="0" layoutInCell="1" allowOverlap="1">
                <wp:simplePos x="0" y="0"/>
                <wp:positionH relativeFrom="column">
                  <wp:posOffset>-276860</wp:posOffset>
                </wp:positionH>
                <wp:positionV relativeFrom="paragraph">
                  <wp:posOffset>193040</wp:posOffset>
                </wp:positionV>
                <wp:extent cx="2557780" cy="3212465"/>
                <wp:effectExtent l="0" t="0" r="13970" b="6985"/>
                <wp:wrapNone/>
                <wp:docPr id="4" name="文本框 8"/>
                <wp:cNvGraphicFramePr/>
                <a:graphic xmlns:a="http://schemas.openxmlformats.org/drawingml/2006/main">
                  <a:graphicData uri="http://schemas.microsoft.com/office/word/2010/wordprocessingShape">
                    <wps:wsp>
                      <wps:cNvSpPr txBox="1"/>
                      <wps:spPr>
                        <a:xfrm>
                          <a:off x="0" y="0"/>
                          <a:ext cx="2557780" cy="3212465"/>
                        </a:xfrm>
                        <a:prstGeom prst="rect">
                          <a:avLst/>
                        </a:prstGeom>
                        <a:solidFill>
                          <a:srgbClr val="FFFFFF"/>
                        </a:solidFill>
                        <a:ln>
                          <a:noFill/>
                        </a:ln>
                      </wps:spPr>
                      <wps:txbx>
                        <w:txbxContent>
                          <w:p>
                            <w:pPr>
                              <w:spacing w:line="360" w:lineRule="auto"/>
                              <w:ind w:firstLine="560"/>
                              <w:rPr>
                                <w:rFonts w:hint="eastAsia" w:ascii="宋体" w:hAnsi="宋体" w:eastAsia="宋体" w:cs="宋体"/>
                                <w:sz w:val="21"/>
                                <w:szCs w:val="21"/>
                                <w:lang w:eastAsia="zh-CN"/>
                              </w:rPr>
                            </w:pPr>
                            <w:r>
                              <w:rPr>
                                <w:rFonts w:hint="eastAsia" w:ascii="宋体" w:hAnsi="宋体" w:eastAsia="宋体" w:cs="宋体"/>
                                <w:sz w:val="21"/>
                                <w:szCs w:val="21"/>
                              </w:rPr>
                              <w:t>发包人：</w:t>
                            </w:r>
                            <w:r>
                              <w:rPr>
                                <w:rFonts w:hint="eastAsia" w:ascii="宋体" w:hAnsi="宋体" w:eastAsia="宋体" w:cs="宋体"/>
                                <w:sz w:val="21"/>
                                <w:szCs w:val="21"/>
                                <w:lang w:eastAsia="zh-CN"/>
                              </w:rPr>
                              <w:t>（</w:t>
                            </w:r>
                            <w:r>
                              <w:rPr>
                                <w:rFonts w:hint="eastAsia" w:ascii="宋体" w:hAnsi="宋体" w:eastAsia="宋体" w:cs="宋体"/>
                                <w:sz w:val="21"/>
                                <w:szCs w:val="21"/>
                              </w:rPr>
                              <w:t>公章</w:t>
                            </w:r>
                            <w:r>
                              <w:rPr>
                                <w:rFonts w:hint="eastAsia" w:ascii="宋体" w:hAnsi="宋体" w:eastAsia="宋体" w:cs="宋体"/>
                                <w:sz w:val="21"/>
                                <w:szCs w:val="21"/>
                                <w:lang w:eastAsia="zh-CN"/>
                              </w:rPr>
                              <w:t>）</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法定代表人或其委托代理人：（签字）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社会统一信用代码证号：</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传  真：</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日</w:t>
                            </w:r>
                            <w:r>
                              <w:rPr>
                                <w:rFonts w:hint="eastAsia" w:ascii="宋体" w:hAnsi="宋体" w:eastAsia="宋体" w:cs="宋体"/>
                                <w:sz w:val="21"/>
                                <w:szCs w:val="21"/>
                                <w:u w:val="single"/>
                              </w:rPr>
                              <w:t xml:space="preserve"> </w:t>
                            </w:r>
                          </w:p>
                        </w:txbxContent>
                      </wps:txbx>
                      <wps:bodyPr wrap="square" upright="1"/>
                    </wps:wsp>
                  </a:graphicData>
                </a:graphic>
              </wp:anchor>
            </w:drawing>
          </mc:Choice>
          <mc:Fallback>
            <w:pict>
              <v:shape id="文本框 8" o:spid="_x0000_s1026" o:spt="202" type="#_x0000_t202" style="position:absolute;left:0pt;margin-left:-21.8pt;margin-top:15.2pt;height:252.95pt;width:201.4pt;z-index:251663360;mso-width-relative:page;mso-height-relative:page;" fillcolor="#FFFFFF" filled="t" stroked="f" coordsize="21600,21600" o:gfxdata="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ufJ562QAAAAoBAAAPAAAAAAAAAAEAIAAAACIAAABk&#10;cnMvZG93bnJldi54bWxQSwECFAAUAAAACACHTuJAphdaNMwBAACGAwAADgAAAAAAAAABACAAAAAo&#10;AQAAZHJzL2Uyb0RvYy54bWxQSwUGAAAAAAYABgBZAQAAZgUAAAAA&#10;">
                <v:fill on="t" focussize="0,0"/>
                <v:stroke on="f"/>
                <v:imagedata o:title=""/>
                <o:lock v:ext="edit" aspectratio="f"/>
                <v:textbox>
                  <w:txbxContent>
                    <w:p>
                      <w:pPr>
                        <w:spacing w:line="360" w:lineRule="auto"/>
                        <w:ind w:firstLine="560"/>
                        <w:rPr>
                          <w:rFonts w:hint="eastAsia" w:ascii="宋体" w:hAnsi="宋体" w:eastAsia="宋体" w:cs="宋体"/>
                          <w:sz w:val="21"/>
                          <w:szCs w:val="21"/>
                          <w:lang w:eastAsia="zh-CN"/>
                        </w:rPr>
                      </w:pPr>
                      <w:r>
                        <w:rPr>
                          <w:rFonts w:hint="eastAsia" w:ascii="宋体" w:hAnsi="宋体" w:eastAsia="宋体" w:cs="宋体"/>
                          <w:sz w:val="21"/>
                          <w:szCs w:val="21"/>
                        </w:rPr>
                        <w:t>发包人：</w:t>
                      </w:r>
                      <w:r>
                        <w:rPr>
                          <w:rFonts w:hint="eastAsia" w:ascii="宋体" w:hAnsi="宋体" w:eastAsia="宋体" w:cs="宋体"/>
                          <w:sz w:val="21"/>
                          <w:szCs w:val="21"/>
                          <w:lang w:eastAsia="zh-CN"/>
                        </w:rPr>
                        <w:t>（</w:t>
                      </w:r>
                      <w:r>
                        <w:rPr>
                          <w:rFonts w:hint="eastAsia" w:ascii="宋体" w:hAnsi="宋体" w:eastAsia="宋体" w:cs="宋体"/>
                          <w:sz w:val="21"/>
                          <w:szCs w:val="21"/>
                        </w:rPr>
                        <w:t>公章</w:t>
                      </w:r>
                      <w:r>
                        <w:rPr>
                          <w:rFonts w:hint="eastAsia" w:ascii="宋体" w:hAnsi="宋体" w:eastAsia="宋体" w:cs="宋体"/>
                          <w:sz w:val="21"/>
                          <w:szCs w:val="21"/>
                          <w:lang w:eastAsia="zh-CN"/>
                        </w:rPr>
                        <w:t>）</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法定代表人或其委托代理人：（签字）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社会统一信用代码证号：</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传  真：</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日</w:t>
                      </w:r>
                      <w:r>
                        <w:rPr>
                          <w:rFonts w:hint="eastAsia" w:ascii="宋体" w:hAnsi="宋体" w:eastAsia="宋体" w:cs="宋体"/>
                          <w:sz w:val="21"/>
                          <w:szCs w:val="21"/>
                          <w:u w:val="single"/>
                        </w:rPr>
                        <w:t xml:space="preserve"> </w:t>
                      </w:r>
                    </w:p>
                  </w:txbxContent>
                </v:textbox>
              </v:shape>
            </w:pict>
          </mc:Fallback>
        </mc:AlternateContent>
      </w:r>
    </w:p>
    <w:p>
      <w:pPr>
        <w:outlineLvl w:val="9"/>
        <w:rPr>
          <w:rFonts w:hint="eastAsia" w:ascii="宋体" w:hAnsi="宋体" w:eastAsia="宋体" w:cs="宋体"/>
          <w:sz w:val="21"/>
          <w:szCs w:val="21"/>
        </w:rPr>
      </w:pPr>
    </w:p>
    <w:p>
      <w:pPr>
        <w:outlineLvl w:val="9"/>
        <w:rPr>
          <w:rFonts w:hint="eastAsia" w:ascii="宋体" w:hAnsi="宋体" w:eastAsia="宋体" w:cs="宋体"/>
          <w:sz w:val="21"/>
          <w:szCs w:val="21"/>
        </w:rPr>
      </w:pPr>
    </w:p>
    <w:p>
      <w:pPr>
        <w:outlineLvl w:val="9"/>
        <w:rPr>
          <w:rFonts w:hint="eastAsia" w:ascii="宋体" w:hAnsi="宋体" w:eastAsia="宋体" w:cs="宋体"/>
          <w:sz w:val="21"/>
          <w:szCs w:val="21"/>
        </w:rPr>
      </w:pPr>
    </w:p>
    <w:p>
      <w:pPr>
        <w:outlineLvl w:val="9"/>
        <w:rPr>
          <w:rFonts w:hint="eastAsia" w:ascii="宋体" w:hAnsi="宋体" w:eastAsia="宋体" w:cs="宋体"/>
          <w:sz w:val="21"/>
          <w:szCs w:val="21"/>
        </w:rPr>
      </w:pPr>
    </w:p>
    <w:p>
      <w:pPr>
        <w:outlineLvl w:val="9"/>
        <w:rPr>
          <w:rFonts w:hint="eastAsia" w:ascii="宋体" w:hAnsi="宋体" w:eastAsia="宋体" w:cs="宋体"/>
          <w:sz w:val="21"/>
          <w:szCs w:val="21"/>
        </w:rPr>
      </w:pPr>
    </w:p>
    <w:p>
      <w:pPr>
        <w:outlineLvl w:val="9"/>
        <w:rPr>
          <w:rFonts w:hint="eastAsia" w:ascii="宋体" w:hAnsi="宋体" w:eastAsia="宋体" w:cs="宋体"/>
          <w:sz w:val="21"/>
          <w:szCs w:val="21"/>
        </w:rPr>
      </w:pPr>
    </w:p>
    <w:p>
      <w:pPr>
        <w:outlineLvl w:val="9"/>
        <w:rPr>
          <w:rFonts w:hint="eastAsia" w:ascii="宋体" w:hAnsi="宋体" w:eastAsia="宋体" w:cs="宋体"/>
          <w:sz w:val="21"/>
          <w:szCs w:val="21"/>
        </w:rPr>
      </w:pPr>
    </w:p>
    <w:p>
      <w:pPr>
        <w:outlineLvl w:val="9"/>
        <w:rPr>
          <w:rFonts w:hint="eastAsia" w:ascii="宋体" w:hAnsi="宋体" w:eastAsia="宋体" w:cs="宋体"/>
          <w:sz w:val="21"/>
          <w:szCs w:val="21"/>
        </w:rPr>
      </w:pPr>
    </w:p>
    <w:p>
      <w:pPr>
        <w:outlineLvl w:val="9"/>
        <w:rPr>
          <w:rFonts w:hint="eastAsia" w:ascii="宋体" w:hAnsi="宋体" w:eastAsia="宋体" w:cs="宋体"/>
          <w:sz w:val="21"/>
          <w:szCs w:val="21"/>
        </w:rPr>
      </w:pPr>
    </w:p>
    <w:p>
      <w:pPr>
        <w:outlineLvl w:val="9"/>
        <w:rPr>
          <w:rFonts w:hint="eastAsia" w:ascii="宋体" w:hAnsi="宋体" w:eastAsia="宋体" w:cs="宋体"/>
          <w:sz w:val="21"/>
          <w:szCs w:val="21"/>
        </w:rPr>
      </w:pPr>
    </w:p>
    <w:p>
      <w:pPr>
        <w:outlineLvl w:val="9"/>
        <w:rPr>
          <w:rFonts w:hint="eastAsia" w:ascii="宋体" w:hAnsi="宋体" w:eastAsia="宋体" w:cs="宋体"/>
          <w:sz w:val="21"/>
          <w:szCs w:val="21"/>
        </w:rPr>
      </w:pPr>
    </w:p>
    <w:p>
      <w:pPr>
        <w:outlineLvl w:val="9"/>
        <w:rPr>
          <w:rFonts w:hint="eastAsia" w:ascii="宋体" w:hAnsi="宋体" w:eastAsia="宋体" w:cs="宋体"/>
          <w:sz w:val="21"/>
          <w:szCs w:val="21"/>
        </w:rPr>
      </w:pPr>
    </w:p>
    <w:p>
      <w:pPr>
        <w:outlineLvl w:val="9"/>
        <w:rPr>
          <w:rFonts w:hint="eastAsia" w:ascii="宋体" w:hAnsi="宋体" w:eastAsia="宋体" w:cs="宋体"/>
          <w:sz w:val="21"/>
          <w:szCs w:val="21"/>
        </w:rPr>
      </w:pPr>
    </w:p>
    <w:p>
      <w:pPr>
        <w:outlineLvl w:val="9"/>
        <w:rPr>
          <w:rFonts w:hint="eastAsia" w:ascii="宋体" w:hAnsi="宋体" w:eastAsia="宋体" w:cs="宋体"/>
          <w:sz w:val="21"/>
          <w:szCs w:val="21"/>
        </w:rPr>
      </w:pPr>
    </w:p>
    <w:p>
      <w:pPr>
        <w:shd w:val="clear" w:fill="auto"/>
        <w:adjustRightInd w:val="0"/>
        <w:snapToGrid w:val="0"/>
        <w:spacing w:line="360" w:lineRule="auto"/>
        <w:contextualSpacing/>
        <w:outlineLvl w:val="9"/>
        <w:rPr>
          <w:rFonts w:ascii="宋体" w:hAnsi="宋体" w:cs="宋体"/>
          <w:sz w:val="30"/>
          <w:szCs w:val="30"/>
          <w:highlight w:val="none"/>
        </w:rPr>
      </w:pPr>
    </w:p>
    <w:p>
      <w:pPr>
        <w:shd w:val="clear" w:fill="auto"/>
        <w:spacing w:line="360" w:lineRule="auto"/>
        <w:ind w:firstLine="5250" w:firstLineChars="2500"/>
        <w:contextualSpacing/>
        <w:outlineLvl w:val="9"/>
        <w:rPr>
          <w:rFonts w:ascii="宋体" w:hAnsi="宋体" w:cs="宋体"/>
          <w:szCs w:val="21"/>
          <w:highlight w:val="none"/>
        </w:rPr>
      </w:pPr>
    </w:p>
    <w:p>
      <w:pPr>
        <w:shd w:val="clear" w:fill="auto"/>
        <w:spacing w:line="360" w:lineRule="auto"/>
        <w:contextualSpacing/>
        <w:outlineLvl w:val="9"/>
        <w:rPr>
          <w:rFonts w:ascii="宋体" w:hAnsi="宋体" w:cs="宋体"/>
          <w:szCs w:val="21"/>
          <w:highlight w:val="none"/>
        </w:rPr>
      </w:pPr>
    </w:p>
    <w:p>
      <w:pPr>
        <w:shd w:val="clear" w:fill="auto"/>
        <w:spacing w:line="360" w:lineRule="auto"/>
        <w:contextualSpacing/>
        <w:outlineLvl w:val="9"/>
        <w:rPr>
          <w:rFonts w:ascii="宋体" w:hAnsi="宋体" w:cs="宋体"/>
          <w:szCs w:val="21"/>
          <w:highlight w:val="none"/>
        </w:rPr>
      </w:pPr>
    </w:p>
    <w:p>
      <w:pPr>
        <w:shd w:val="clear" w:fill="auto"/>
        <w:spacing w:line="360" w:lineRule="auto"/>
        <w:contextualSpacing/>
        <w:outlineLvl w:val="9"/>
        <w:rPr>
          <w:rFonts w:ascii="宋体" w:hAnsi="宋体" w:cs="宋体"/>
          <w:szCs w:val="21"/>
          <w:highlight w:val="none"/>
        </w:rPr>
      </w:pPr>
    </w:p>
    <w:p>
      <w:pPr>
        <w:shd w:val="clear" w:fill="auto"/>
        <w:spacing w:line="360" w:lineRule="auto"/>
        <w:contextualSpacing/>
        <w:outlineLvl w:val="9"/>
        <w:rPr>
          <w:rFonts w:ascii="宋体" w:hAnsi="宋体" w:cs="宋体"/>
          <w:szCs w:val="21"/>
          <w:highlight w:val="none"/>
        </w:rPr>
      </w:pPr>
    </w:p>
    <w:p>
      <w:pPr>
        <w:shd w:val="clear" w:fill="auto"/>
        <w:spacing w:line="360" w:lineRule="auto"/>
        <w:contextualSpacing/>
        <w:outlineLvl w:val="9"/>
        <w:rPr>
          <w:rFonts w:ascii="宋体" w:hAnsi="宋体" w:cs="宋体"/>
          <w:szCs w:val="21"/>
          <w:highlight w:val="none"/>
        </w:rPr>
      </w:pPr>
    </w:p>
    <w:p>
      <w:pPr>
        <w:shd w:val="clear" w:fill="auto"/>
        <w:spacing w:line="360" w:lineRule="auto"/>
        <w:contextualSpacing/>
        <w:outlineLvl w:val="9"/>
        <w:rPr>
          <w:rFonts w:ascii="宋体" w:hAnsi="宋体" w:cs="宋体"/>
          <w:szCs w:val="21"/>
          <w:highlight w:val="none"/>
        </w:rPr>
      </w:pPr>
    </w:p>
    <w:p>
      <w:pPr>
        <w:shd w:val="clear" w:fill="auto"/>
        <w:spacing w:line="360" w:lineRule="auto"/>
        <w:contextualSpacing/>
        <w:outlineLvl w:val="9"/>
        <w:rPr>
          <w:rFonts w:ascii="宋体" w:hAnsi="宋体" w:cs="宋体"/>
          <w:szCs w:val="21"/>
          <w:highlight w:val="none"/>
        </w:rPr>
      </w:pPr>
    </w:p>
    <w:p>
      <w:pPr>
        <w:shd w:val="clear" w:fill="auto"/>
        <w:spacing w:line="360" w:lineRule="auto"/>
        <w:contextualSpacing/>
        <w:outlineLvl w:val="9"/>
        <w:rPr>
          <w:rFonts w:ascii="宋体" w:hAnsi="宋体" w:cs="宋体"/>
          <w:szCs w:val="21"/>
          <w:highlight w:val="none"/>
        </w:rPr>
      </w:pPr>
    </w:p>
    <w:p>
      <w:pPr>
        <w:shd w:val="clear" w:fill="auto"/>
        <w:spacing w:line="360" w:lineRule="auto"/>
        <w:contextualSpacing/>
        <w:outlineLvl w:val="9"/>
        <w:rPr>
          <w:rFonts w:ascii="宋体" w:hAnsi="宋体" w:cs="宋体"/>
          <w:szCs w:val="21"/>
          <w:highlight w:val="none"/>
        </w:rPr>
      </w:pPr>
    </w:p>
    <w:p>
      <w:pPr>
        <w:shd w:val="clear" w:fill="auto"/>
        <w:spacing w:line="360" w:lineRule="auto"/>
        <w:contextualSpacing/>
        <w:outlineLvl w:val="9"/>
        <w:rPr>
          <w:rFonts w:ascii="宋体" w:hAnsi="宋体" w:cs="宋体"/>
          <w:szCs w:val="21"/>
          <w:highlight w:val="none"/>
        </w:rPr>
      </w:pPr>
    </w:p>
    <w:p>
      <w:pPr>
        <w:shd w:val="clear" w:fill="auto"/>
        <w:spacing w:line="360" w:lineRule="auto"/>
        <w:contextualSpacing/>
        <w:outlineLvl w:val="9"/>
        <w:rPr>
          <w:rFonts w:ascii="宋体" w:hAnsi="宋体" w:cs="宋体"/>
          <w:szCs w:val="21"/>
          <w:highlight w:val="none"/>
        </w:rPr>
      </w:pPr>
    </w:p>
    <w:p>
      <w:pPr>
        <w:shd w:val="clear" w:fill="auto"/>
        <w:spacing w:line="360" w:lineRule="auto"/>
        <w:contextualSpacing/>
        <w:outlineLvl w:val="9"/>
        <w:rPr>
          <w:rFonts w:ascii="宋体" w:hAnsi="宋体" w:cs="宋体"/>
          <w:szCs w:val="21"/>
          <w:highlight w:val="none"/>
        </w:rPr>
      </w:pPr>
    </w:p>
    <w:p>
      <w:pPr>
        <w:shd w:val="clear" w:fill="FFFFFF" w:themeFill="background1"/>
        <w:spacing w:line="360" w:lineRule="auto"/>
        <w:contextualSpacing/>
        <w:outlineLvl w:val="9"/>
        <w:rPr>
          <w:rFonts w:ascii="宋体" w:hAnsi="宋体" w:cs="宋体"/>
          <w:szCs w:val="21"/>
          <w:highlight w:val="none"/>
        </w:rPr>
        <w:sectPr>
          <w:pgSz w:w="11906" w:h="16838"/>
          <w:pgMar w:top="1247" w:right="1247" w:bottom="1247" w:left="1247" w:header="850" w:footer="850" w:gutter="0"/>
          <w:pgNumType w:fmt="decimal"/>
          <w:cols w:space="720" w:num="1"/>
          <w:docGrid w:linePitch="312" w:charSpace="0"/>
        </w:sectPr>
      </w:pPr>
    </w:p>
    <w:p>
      <w:pPr>
        <w:ind w:firstLine="4200" w:firstLineChars="1400"/>
        <w:outlineLvl w:val="9"/>
        <w:rPr>
          <w:rFonts w:hint="eastAsia" w:ascii="黑体" w:hAnsi="黑体" w:eastAsia="黑体" w:cs="黑体"/>
          <w:b w:val="0"/>
          <w:sz w:val="30"/>
          <w:szCs w:val="30"/>
          <w:highlight w:val="yellow"/>
        </w:rPr>
      </w:pPr>
      <w:bookmarkStart w:id="831" w:name="_Toc41181775"/>
      <w:bookmarkStart w:id="832" w:name="_Toc1106295181"/>
      <w:bookmarkStart w:id="833" w:name="_Toc28893"/>
      <w:r>
        <w:rPr>
          <w:rFonts w:hint="eastAsia" w:ascii="黑体" w:hAnsi="黑体" w:eastAsia="黑体" w:cs="黑体"/>
          <w:b w:val="0"/>
          <w:sz w:val="30"/>
          <w:szCs w:val="30"/>
          <w:highlight w:val="yellow"/>
        </w:rPr>
        <w:t>廉政建设责任书</w:t>
      </w:r>
      <w:bookmarkEnd w:id="831"/>
      <w:bookmarkEnd w:id="832"/>
    </w:p>
    <w:p>
      <w:pPr>
        <w:ind w:firstLine="4200" w:firstLineChars="1400"/>
        <w:outlineLvl w:val="9"/>
        <w:rPr>
          <w:rFonts w:hint="eastAsia" w:ascii="黑体" w:hAnsi="黑体" w:eastAsia="黑体" w:cs="黑体"/>
          <w:b w:val="0"/>
          <w:sz w:val="30"/>
          <w:szCs w:val="30"/>
          <w:highlight w:val="yellow"/>
        </w:rPr>
      </w:pPr>
    </w:p>
    <w:p>
      <w:pPr>
        <w:snapToGrid w:val="0"/>
        <w:spacing w:line="360" w:lineRule="auto"/>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highlight w:val="yellow"/>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建设责任书。</w:t>
      </w:r>
    </w:p>
    <w:p>
      <w:pPr>
        <w:snapToGrid w:val="0"/>
        <w:spacing w:line="360" w:lineRule="auto"/>
        <w:ind w:firstLine="422" w:firstLineChars="200"/>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一、双方的责任</w:t>
      </w:r>
    </w:p>
    <w:p>
      <w:pPr>
        <w:snapToGrid w:val="0"/>
        <w:spacing w:line="360" w:lineRule="auto"/>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highlight w:val="yellow"/>
        </w:rPr>
        <w:t>1.1应严格遵守国家关于建设工程的有关法律、法规，相关政策，以及廉政建设的各项规定。</w:t>
      </w:r>
    </w:p>
    <w:p>
      <w:pPr>
        <w:snapToGrid w:val="0"/>
        <w:spacing w:line="360" w:lineRule="auto"/>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highlight w:val="yellow"/>
        </w:rPr>
        <w:t>1.2严格执行建设工程合同文件，自觉按合同办事。</w:t>
      </w:r>
    </w:p>
    <w:p>
      <w:pPr>
        <w:snapToGrid w:val="0"/>
        <w:spacing w:line="360" w:lineRule="auto"/>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highlight w:val="yellow"/>
        </w:rPr>
        <w:t>1.3各项活动必须坚持公开、公平、公正、诚信、透明的原则(除法律法规另有规定者外)，不得为获取不正当的利益，损害国家、集体和对方利益，不得违反建设工程管理的规章制度。</w:t>
      </w:r>
    </w:p>
    <w:p>
      <w:pPr>
        <w:snapToGrid w:val="0"/>
        <w:spacing w:line="360" w:lineRule="auto"/>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highlight w:val="yellow"/>
        </w:rPr>
        <w:t>1.4发现对方在业务活动中有违规、违纪、违法行为的，应及时提醒对方，情节严重的，应向其上级主管部门或纪检监察、司法等有关机关举报。</w:t>
      </w:r>
    </w:p>
    <w:p>
      <w:pPr>
        <w:snapToGrid w:val="0"/>
        <w:spacing w:line="360" w:lineRule="auto"/>
        <w:ind w:firstLine="422" w:firstLineChars="200"/>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二、发包人责任</w:t>
      </w:r>
    </w:p>
    <w:p>
      <w:pPr>
        <w:snapToGrid w:val="0"/>
        <w:spacing w:line="360" w:lineRule="auto"/>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highlight w:val="yellow"/>
        </w:rPr>
        <w:t>发包人从事该建设工程项目的负责人和工作人员，在工程建设的事前、事中、事后应遵守以下规定：</w:t>
      </w:r>
    </w:p>
    <w:p>
      <w:pPr>
        <w:snapToGrid w:val="0"/>
        <w:spacing w:line="360" w:lineRule="auto"/>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highlight w:val="yellow"/>
        </w:rPr>
        <w:t>2.1不得向承包人和相关单位索要或接受回扣、礼金、有价证券、贵重物品和好处费、感谢费等。</w:t>
      </w:r>
    </w:p>
    <w:p>
      <w:pPr>
        <w:snapToGrid w:val="0"/>
        <w:spacing w:line="360" w:lineRule="auto"/>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highlight w:val="yellow"/>
        </w:rPr>
        <w:t>2.2不得在承包人和相关单位报销任何应由发包人或个人支付的费用。</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highlight w:val="yellow"/>
        </w:rPr>
        <w:t>2.3不得要求、暗示或接受承包人和相关单位为个人装修住房、婚</w:t>
      </w:r>
      <w:r>
        <w:rPr>
          <w:rFonts w:hint="eastAsia" w:ascii="宋体" w:hAnsi="宋体" w:eastAsia="宋体" w:cs="宋体"/>
          <w:sz w:val="21"/>
          <w:szCs w:val="21"/>
        </w:rPr>
        <w:t>丧嫁娶、配偶子女的工作安排以及出国(境)、旅游等提供方便。</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2.4不得参加有可能影响公正执行公务的承包人和相关单位的宴请、健身、娱乐等活动。</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2.5不得向承包人和相关单位介绍或为配偶、子女、亲属参与同发包人工程建设管理合同有关的业务活动；不得以任何理由要求承包人和相关单位使用某种产品、材料和设备。</w:t>
      </w:r>
    </w:p>
    <w:p>
      <w:pPr>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三、承包人责任</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应与发包人保持正常的业务交往，按照有关法律法规和程序开展业务工作，严格执行工程建设的有关方针、政策，执行工程建设强制性标准，并遵守以下规定：</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3.1不得以任何理由向发包人及其工作人员索要、接受或赠送礼金、有价证券、贵重物品及回扣、好处费、感谢费等。</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3.2不得以任何理由为发包人和相关单位报销应由对方或个人支付的费用。</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3.3不得接受或暗示为发包人、相关单位或个人装修住房、婚丧嫁娶、配偶子女的工作安排以及出国(境)、旅游等提供方便。</w:t>
      </w:r>
    </w:p>
    <w:p>
      <w:pPr>
        <w:snapToGrid w:val="0"/>
        <w:spacing w:line="36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rPr>
        <w:t>3.4不得以任何理由为发包人、相关单位或个人组织有可能影响公正执行公务的宴请、健身、娱乐等活动。</w:t>
      </w:r>
    </w:p>
    <w:p>
      <w:pPr>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四、违约责任</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4.1发包人工作人员有违反本责任书第一、二条责任行为的，依据有关法律、法规给予处理；涉嫌犯罪的，移交司法机关追究刑事责任；给承包人单位造成经济损失的，应予以赔偿。</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4.2承包人工作人员有违反本责任书第一、三条责任行为的，依据有关法律法规处理；涉嫌犯罪的，移交司法机关追究刑事责任；给发包人单位造成经济损失的，应予以赔偿。</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4.3本责任书作为本合同的组成部分，与本合同具有同等法律效力</w:t>
      </w:r>
      <w:r>
        <w:rPr>
          <w:rFonts w:hint="eastAsia" w:ascii="宋体" w:hAnsi="宋体" w:eastAsia="宋体" w:cs="宋体"/>
          <w:sz w:val="21"/>
          <w:szCs w:val="21"/>
          <w:lang w:eastAsia="zh-CN"/>
        </w:rPr>
        <w:t>，</w:t>
      </w:r>
      <w:r>
        <w:rPr>
          <w:rFonts w:hint="eastAsia" w:ascii="宋体" w:hAnsi="宋体" w:eastAsia="宋体" w:cs="宋体"/>
          <w:sz w:val="21"/>
          <w:szCs w:val="21"/>
        </w:rPr>
        <w:t>经双方签署后立即生效。</w:t>
      </w:r>
    </w:p>
    <w:p>
      <w:pPr>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五、责任书有效期</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本责任书的有效期为双方签署之日起至该工程项目竣工验收合格时止。</w:t>
      </w:r>
    </w:p>
    <w:p>
      <w:pPr>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六、责任书份数</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本责任书一式</w:t>
      </w:r>
      <w:r>
        <w:rPr>
          <w:rFonts w:hint="eastAsia" w:ascii="宋体" w:hAnsi="宋体" w:eastAsia="宋体" w:cs="宋体"/>
          <w:sz w:val="21"/>
          <w:szCs w:val="21"/>
          <w:lang w:eastAsia="zh-CN"/>
        </w:rPr>
        <w:t>两</w:t>
      </w:r>
      <w:r>
        <w:rPr>
          <w:rFonts w:hint="eastAsia" w:ascii="宋体" w:hAnsi="宋体" w:eastAsia="宋体" w:cs="宋体"/>
          <w:sz w:val="21"/>
          <w:szCs w:val="21"/>
        </w:rPr>
        <w:t>份，发包人承包人各执一份，具有同等效力。</w:t>
      </w:r>
    </w:p>
    <w:p>
      <w:pPr>
        <w:snapToGrid w:val="0"/>
        <w:spacing w:line="360" w:lineRule="auto"/>
        <w:ind w:left="105" w:leftChars="50" w:firstLine="60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7456" behindDoc="0" locked="0" layoutInCell="1" allowOverlap="1">
                <wp:simplePos x="0" y="0"/>
                <wp:positionH relativeFrom="column">
                  <wp:posOffset>2803525</wp:posOffset>
                </wp:positionH>
                <wp:positionV relativeFrom="paragraph">
                  <wp:posOffset>62230</wp:posOffset>
                </wp:positionV>
                <wp:extent cx="2865755" cy="2667635"/>
                <wp:effectExtent l="0" t="0" r="10795" b="18415"/>
                <wp:wrapNone/>
                <wp:docPr id="5" name="文本框 9"/>
                <wp:cNvGraphicFramePr/>
                <a:graphic xmlns:a="http://schemas.openxmlformats.org/drawingml/2006/main">
                  <a:graphicData uri="http://schemas.microsoft.com/office/word/2010/wordprocessingShape">
                    <wps:wsp>
                      <wps:cNvSpPr txBox="1"/>
                      <wps:spPr>
                        <a:xfrm>
                          <a:off x="0" y="0"/>
                          <a:ext cx="2865755" cy="2667635"/>
                        </a:xfrm>
                        <a:prstGeom prst="rect">
                          <a:avLst/>
                        </a:prstGeom>
                        <a:solidFill>
                          <a:srgbClr val="FFFFFF"/>
                        </a:solidFill>
                        <a:ln>
                          <a:noFill/>
                        </a:ln>
                      </wps:spPr>
                      <wps:txbx>
                        <w:txbxContent>
                          <w:p>
                            <w:pPr>
                              <w:spacing w:line="360" w:lineRule="auto"/>
                              <w:ind w:firstLine="560"/>
                              <w:rPr>
                                <w:rFonts w:hint="eastAsia" w:ascii="宋体" w:hAnsi="宋体" w:eastAsia="宋体" w:cs="宋体"/>
                                <w:sz w:val="21"/>
                                <w:szCs w:val="21"/>
                                <w:lang w:eastAsia="zh-CN"/>
                              </w:rPr>
                            </w:pPr>
                            <w:r>
                              <w:rPr>
                                <w:rFonts w:hint="eastAsia" w:ascii="宋体" w:hAnsi="宋体" w:eastAsia="宋体" w:cs="宋体"/>
                                <w:sz w:val="21"/>
                                <w:szCs w:val="21"/>
                              </w:rPr>
                              <w:t>承包人：</w:t>
                            </w:r>
                            <w:r>
                              <w:rPr>
                                <w:rFonts w:hint="eastAsia" w:ascii="宋体" w:hAnsi="宋体" w:eastAsia="宋体" w:cs="宋体"/>
                                <w:sz w:val="21"/>
                                <w:szCs w:val="21"/>
                                <w:lang w:eastAsia="zh-CN"/>
                              </w:rPr>
                              <w:t>（</w:t>
                            </w:r>
                            <w:r>
                              <w:rPr>
                                <w:rFonts w:hint="eastAsia" w:ascii="宋体" w:hAnsi="宋体" w:eastAsia="宋体" w:cs="宋体"/>
                                <w:sz w:val="21"/>
                                <w:szCs w:val="21"/>
                              </w:rPr>
                              <w:t>公章</w:t>
                            </w:r>
                            <w:r>
                              <w:rPr>
                                <w:rFonts w:hint="eastAsia" w:ascii="宋体" w:hAnsi="宋体" w:eastAsia="宋体" w:cs="宋体"/>
                                <w:sz w:val="21"/>
                                <w:szCs w:val="21"/>
                                <w:lang w:eastAsia="zh-CN"/>
                              </w:rPr>
                              <w:t>）</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法定代表人或其委托代理人：（签字）</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日</w:t>
                            </w:r>
                          </w:p>
                        </w:txbxContent>
                      </wps:txbx>
                      <wps:bodyPr wrap="square" upright="1"/>
                    </wps:wsp>
                  </a:graphicData>
                </a:graphic>
              </wp:anchor>
            </w:drawing>
          </mc:Choice>
          <mc:Fallback>
            <w:pict>
              <v:shape id="文本框 9" o:spid="_x0000_s1026" o:spt="202" type="#_x0000_t202" style="position:absolute;left:0pt;margin-left:220.75pt;margin-top:4.9pt;height:210.05pt;width:225.65pt;z-index:251667456;mso-width-relative:page;mso-height-relative:page;" fillcolor="#FFFFFF" filled="t" stroked="f" coordsize="21600,21600" o:gfxdata="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f703b1wAAAAkBAAAPAAAAAAAAAAEAIAAAACIAAABkcnMv&#10;ZG93bnJldi54bWxQSwECFAAUAAAACACHTuJA3p3iVssBAACGAwAADgAAAAAAAAABACAAAAAmAQAA&#10;ZHJzL2Uyb0RvYy54bWxQSwUGAAAAAAYABgBZAQAAYwUAAAAA&#10;">
                <v:fill on="t" focussize="0,0"/>
                <v:stroke on="f"/>
                <v:imagedata o:title=""/>
                <o:lock v:ext="edit" aspectratio="f"/>
                <v:textbox>
                  <w:txbxContent>
                    <w:p>
                      <w:pPr>
                        <w:spacing w:line="360" w:lineRule="auto"/>
                        <w:ind w:firstLine="560"/>
                        <w:rPr>
                          <w:rFonts w:hint="eastAsia" w:ascii="宋体" w:hAnsi="宋体" w:eastAsia="宋体" w:cs="宋体"/>
                          <w:sz w:val="21"/>
                          <w:szCs w:val="21"/>
                          <w:lang w:eastAsia="zh-CN"/>
                        </w:rPr>
                      </w:pPr>
                      <w:r>
                        <w:rPr>
                          <w:rFonts w:hint="eastAsia" w:ascii="宋体" w:hAnsi="宋体" w:eastAsia="宋体" w:cs="宋体"/>
                          <w:sz w:val="21"/>
                          <w:szCs w:val="21"/>
                        </w:rPr>
                        <w:t>承包人：</w:t>
                      </w:r>
                      <w:r>
                        <w:rPr>
                          <w:rFonts w:hint="eastAsia" w:ascii="宋体" w:hAnsi="宋体" w:eastAsia="宋体" w:cs="宋体"/>
                          <w:sz w:val="21"/>
                          <w:szCs w:val="21"/>
                          <w:lang w:eastAsia="zh-CN"/>
                        </w:rPr>
                        <w:t>（</w:t>
                      </w:r>
                      <w:r>
                        <w:rPr>
                          <w:rFonts w:hint="eastAsia" w:ascii="宋体" w:hAnsi="宋体" w:eastAsia="宋体" w:cs="宋体"/>
                          <w:sz w:val="21"/>
                          <w:szCs w:val="21"/>
                        </w:rPr>
                        <w:t>公章</w:t>
                      </w:r>
                      <w:r>
                        <w:rPr>
                          <w:rFonts w:hint="eastAsia" w:ascii="宋体" w:hAnsi="宋体" w:eastAsia="宋体" w:cs="宋体"/>
                          <w:sz w:val="21"/>
                          <w:szCs w:val="21"/>
                          <w:lang w:eastAsia="zh-CN"/>
                        </w:rPr>
                        <w:t>）</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法定代表人或其委托代理人：（签字）</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日</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6432" behindDoc="0" locked="0" layoutInCell="1" allowOverlap="1">
                <wp:simplePos x="0" y="0"/>
                <wp:positionH relativeFrom="column">
                  <wp:posOffset>-60960</wp:posOffset>
                </wp:positionH>
                <wp:positionV relativeFrom="paragraph">
                  <wp:posOffset>63500</wp:posOffset>
                </wp:positionV>
                <wp:extent cx="2865755" cy="2667635"/>
                <wp:effectExtent l="0" t="0" r="10795" b="18415"/>
                <wp:wrapNone/>
                <wp:docPr id="6" name="文本框 10"/>
                <wp:cNvGraphicFramePr/>
                <a:graphic xmlns:a="http://schemas.openxmlformats.org/drawingml/2006/main">
                  <a:graphicData uri="http://schemas.microsoft.com/office/word/2010/wordprocessingShape">
                    <wps:wsp>
                      <wps:cNvSpPr txBox="1"/>
                      <wps:spPr>
                        <a:xfrm>
                          <a:off x="0" y="0"/>
                          <a:ext cx="2865755" cy="2667635"/>
                        </a:xfrm>
                        <a:prstGeom prst="rect">
                          <a:avLst/>
                        </a:prstGeom>
                        <a:solidFill>
                          <a:srgbClr val="FFFFFF"/>
                        </a:solidFill>
                        <a:ln>
                          <a:noFill/>
                        </a:ln>
                      </wps:spPr>
                      <wps:txbx>
                        <w:txbxContent>
                          <w:p>
                            <w:pPr>
                              <w:spacing w:line="360" w:lineRule="auto"/>
                              <w:ind w:firstLine="560"/>
                              <w:rPr>
                                <w:rFonts w:hint="eastAsia" w:ascii="宋体" w:hAnsi="宋体" w:eastAsia="宋体" w:cs="宋体"/>
                                <w:sz w:val="21"/>
                                <w:szCs w:val="21"/>
                              </w:rPr>
                            </w:pPr>
                            <w:r>
                              <w:rPr>
                                <w:rFonts w:hint="eastAsia" w:ascii="宋体" w:hAnsi="宋体" w:eastAsia="宋体" w:cs="宋体"/>
                                <w:sz w:val="21"/>
                                <w:szCs w:val="21"/>
                              </w:rPr>
                              <w:t>发包人：</w:t>
                            </w:r>
                            <w:r>
                              <w:rPr>
                                <w:rFonts w:hint="eastAsia" w:ascii="宋体" w:hAnsi="宋体" w:eastAsia="宋体" w:cs="宋体"/>
                                <w:sz w:val="21"/>
                                <w:szCs w:val="21"/>
                                <w:lang w:eastAsia="zh-CN"/>
                              </w:rPr>
                              <w:t>（</w:t>
                            </w:r>
                            <w:r>
                              <w:rPr>
                                <w:rFonts w:hint="eastAsia" w:ascii="宋体" w:hAnsi="宋体" w:eastAsia="宋体" w:cs="宋体"/>
                                <w:sz w:val="21"/>
                                <w:szCs w:val="21"/>
                              </w:rPr>
                              <w:t>公章</w:t>
                            </w:r>
                            <w:r>
                              <w:rPr>
                                <w:rFonts w:hint="eastAsia" w:ascii="宋体" w:hAnsi="宋体" w:eastAsia="宋体" w:cs="宋体"/>
                                <w:sz w:val="21"/>
                                <w:szCs w:val="21"/>
                                <w:lang w:eastAsia="zh-CN"/>
                              </w:rPr>
                              <w:t>）</w:t>
                            </w:r>
                          </w:p>
                          <w:p>
                            <w:pPr>
                              <w:spacing w:line="360" w:lineRule="auto"/>
                              <w:ind w:firstLine="560"/>
                              <w:jc w:val="both"/>
                              <w:rPr>
                                <w:rFonts w:hint="eastAsia" w:ascii="宋体" w:hAnsi="宋体" w:eastAsia="宋体" w:cs="宋体"/>
                                <w:sz w:val="21"/>
                                <w:szCs w:val="21"/>
                                <w:u w:val="single"/>
                              </w:rPr>
                            </w:pPr>
                            <w:r>
                              <w:rPr>
                                <w:rFonts w:hint="eastAsia" w:ascii="宋体" w:hAnsi="宋体" w:eastAsia="宋体" w:cs="宋体"/>
                                <w:sz w:val="21"/>
                                <w:szCs w:val="21"/>
                              </w:rPr>
                              <w:t>法定代表人或其委托代理人：（签字）</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日</w:t>
                            </w:r>
                          </w:p>
                        </w:txbxContent>
                      </wps:txbx>
                      <wps:bodyPr wrap="square" upright="1"/>
                    </wps:wsp>
                  </a:graphicData>
                </a:graphic>
              </wp:anchor>
            </w:drawing>
          </mc:Choice>
          <mc:Fallback>
            <w:pict>
              <v:shape id="文本框 10" o:spid="_x0000_s1026" o:spt="202" type="#_x0000_t202" style="position:absolute;left:0pt;margin-left:-4.8pt;margin-top:5pt;height:210.05pt;width:225.65pt;z-index:251666432;mso-width-relative:page;mso-height-relative:page;" fillcolor="#FFFFFF" filled="t" stroked="f" coordsize="21600,21600" o:gfxdata="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eQz/NcAAAAJAQAADwAAAAAAAAABACAAAAAiAAAAZHJz&#10;L2Rvd25yZXYueG1sUEsBAhQAFAAAAAgAh07iQC27Z0/MAQAAhwMAAA4AAAAAAAAAAQAgAAAAJgEA&#10;AGRycy9lMm9Eb2MueG1sUEsFBgAAAAAGAAYAWQEAAGQFAAAAAA==&#10;">
                <v:fill on="t" focussize="0,0"/>
                <v:stroke on="f"/>
                <v:imagedata o:title=""/>
                <o:lock v:ext="edit" aspectratio="f"/>
                <v:textbox>
                  <w:txbxContent>
                    <w:p>
                      <w:pPr>
                        <w:spacing w:line="360" w:lineRule="auto"/>
                        <w:ind w:firstLine="560"/>
                        <w:rPr>
                          <w:rFonts w:hint="eastAsia" w:ascii="宋体" w:hAnsi="宋体" w:eastAsia="宋体" w:cs="宋体"/>
                          <w:sz w:val="21"/>
                          <w:szCs w:val="21"/>
                        </w:rPr>
                      </w:pPr>
                      <w:r>
                        <w:rPr>
                          <w:rFonts w:hint="eastAsia" w:ascii="宋体" w:hAnsi="宋体" w:eastAsia="宋体" w:cs="宋体"/>
                          <w:sz w:val="21"/>
                          <w:szCs w:val="21"/>
                        </w:rPr>
                        <w:t>发包人：</w:t>
                      </w:r>
                      <w:r>
                        <w:rPr>
                          <w:rFonts w:hint="eastAsia" w:ascii="宋体" w:hAnsi="宋体" w:eastAsia="宋体" w:cs="宋体"/>
                          <w:sz w:val="21"/>
                          <w:szCs w:val="21"/>
                          <w:lang w:eastAsia="zh-CN"/>
                        </w:rPr>
                        <w:t>（</w:t>
                      </w:r>
                      <w:r>
                        <w:rPr>
                          <w:rFonts w:hint="eastAsia" w:ascii="宋体" w:hAnsi="宋体" w:eastAsia="宋体" w:cs="宋体"/>
                          <w:sz w:val="21"/>
                          <w:szCs w:val="21"/>
                        </w:rPr>
                        <w:t>公章</w:t>
                      </w:r>
                      <w:r>
                        <w:rPr>
                          <w:rFonts w:hint="eastAsia" w:ascii="宋体" w:hAnsi="宋体" w:eastAsia="宋体" w:cs="宋体"/>
                          <w:sz w:val="21"/>
                          <w:szCs w:val="21"/>
                          <w:lang w:eastAsia="zh-CN"/>
                        </w:rPr>
                        <w:t>）</w:t>
                      </w:r>
                    </w:p>
                    <w:p>
                      <w:pPr>
                        <w:spacing w:line="360" w:lineRule="auto"/>
                        <w:ind w:firstLine="560"/>
                        <w:jc w:val="both"/>
                        <w:rPr>
                          <w:rFonts w:hint="eastAsia" w:ascii="宋体" w:hAnsi="宋体" w:eastAsia="宋体" w:cs="宋体"/>
                          <w:sz w:val="21"/>
                          <w:szCs w:val="21"/>
                          <w:u w:val="single"/>
                        </w:rPr>
                      </w:pPr>
                      <w:r>
                        <w:rPr>
                          <w:rFonts w:hint="eastAsia" w:ascii="宋体" w:hAnsi="宋体" w:eastAsia="宋体" w:cs="宋体"/>
                          <w:sz w:val="21"/>
                          <w:szCs w:val="21"/>
                        </w:rPr>
                        <w:t>法定代表人或其委托代理人：（签字）</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日</w:t>
                      </w:r>
                    </w:p>
                  </w:txbxContent>
                </v:textbox>
              </v:shape>
            </w:pict>
          </mc:Fallback>
        </mc:AlternateContent>
      </w:r>
    </w:p>
    <w:p>
      <w:pPr>
        <w:spacing w:line="360" w:lineRule="auto"/>
        <w:rPr>
          <w:rFonts w:hint="eastAsia" w:ascii="宋体" w:hAnsi="宋体" w:eastAsia="宋体" w:cs="宋体"/>
          <w:sz w:val="21"/>
          <w:szCs w:val="21"/>
        </w:rPr>
      </w:pPr>
    </w:p>
    <w:p>
      <w:pPr>
        <w:spacing w:line="360" w:lineRule="auto"/>
        <w:jc w:val="left"/>
        <w:rPr>
          <w:rFonts w:hint="eastAsia" w:ascii="宋体" w:hAnsi="宋体" w:eastAsia="宋体" w:cs="宋体"/>
          <w:b/>
          <w:color w:val="000000"/>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pPr>
    </w:p>
    <w:p/>
    <w:bookmarkEnd w:id="833"/>
    <w:p>
      <w:pPr>
        <w:shd w:val="clear" w:fill="auto"/>
        <w:spacing w:line="360" w:lineRule="auto"/>
        <w:ind w:firstLine="570"/>
        <w:contextualSpacing/>
        <w:outlineLvl w:val="9"/>
        <w:rPr>
          <w:rFonts w:ascii="宋体" w:hAnsi="宋体" w:cs="宋体"/>
          <w:szCs w:val="21"/>
          <w:highlight w:val="none"/>
        </w:rPr>
      </w:pPr>
    </w:p>
    <w:p>
      <w:pPr>
        <w:shd w:val="clear" w:fill="auto"/>
        <w:spacing w:line="360" w:lineRule="auto"/>
        <w:ind w:firstLine="570"/>
        <w:contextualSpacing/>
        <w:outlineLvl w:val="9"/>
        <w:rPr>
          <w:rFonts w:ascii="宋体" w:hAnsi="宋体" w:cs="宋体"/>
          <w:szCs w:val="21"/>
          <w:highlight w:val="none"/>
        </w:rPr>
      </w:pPr>
    </w:p>
    <w:p>
      <w:pPr>
        <w:pStyle w:val="53"/>
        <w:shd w:val="clear" w:fill="FFFFFF" w:themeFill="background1"/>
        <w:spacing w:line="360" w:lineRule="auto"/>
        <w:contextualSpacing/>
        <w:outlineLvl w:val="9"/>
        <w:rPr>
          <w:rFonts w:ascii="宋体" w:hAnsi="宋体" w:cs="宋体"/>
          <w:highlight w:val="none"/>
        </w:rPr>
        <w:sectPr>
          <w:pgSz w:w="11906" w:h="16838"/>
          <w:pgMar w:top="1418" w:right="1134" w:bottom="1418" w:left="1134" w:header="850" w:footer="850" w:gutter="0"/>
          <w:pgNumType w:fmt="decimal"/>
          <w:cols w:space="720" w:num="1"/>
          <w:docGrid w:linePitch="312" w:charSpace="0"/>
        </w:sectPr>
      </w:pPr>
    </w:p>
    <w:p>
      <w:pPr>
        <w:shd w:val="clear" w:fill="auto"/>
        <w:spacing w:line="360" w:lineRule="auto"/>
        <w:ind w:firstLine="422" w:firstLineChars="200"/>
        <w:jc w:val="center"/>
        <w:outlineLvl w:val="9"/>
        <w:rPr>
          <w:rFonts w:ascii="宋体" w:hAnsi="宋体" w:cs="宋体"/>
          <w:b/>
          <w:szCs w:val="21"/>
          <w:highlight w:val="none"/>
        </w:rPr>
      </w:pPr>
      <w:r>
        <w:rPr>
          <w:rFonts w:hint="eastAsia" w:ascii="宋体" w:hAnsi="宋体" w:cs="宋体"/>
          <w:b/>
          <w:szCs w:val="21"/>
          <w:highlight w:val="none"/>
        </w:rPr>
        <w:t>安全责任保证书</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发包人(全称)：</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承包人(全称)：</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为确保工程项目的施工安全，依照国家、建设部及河南省、郑州市有关法律、法规，甲、乙双方经协商，特签订本协议：</w:t>
      </w:r>
    </w:p>
    <w:p>
      <w:pPr>
        <w:shd w:val="clear" w:fill="auto"/>
        <w:spacing w:line="360" w:lineRule="auto"/>
        <w:ind w:firstLine="422" w:firstLineChars="200"/>
        <w:outlineLvl w:val="9"/>
        <w:rPr>
          <w:rFonts w:ascii="宋体" w:hAnsi="宋体" w:cs="宋体"/>
          <w:szCs w:val="21"/>
          <w:highlight w:val="none"/>
        </w:rPr>
      </w:pPr>
      <w:r>
        <w:rPr>
          <w:rFonts w:hint="eastAsia" w:ascii="宋体" w:hAnsi="宋体" w:cs="宋体"/>
          <w:b/>
          <w:bCs/>
          <w:szCs w:val="21"/>
          <w:highlight w:val="none"/>
        </w:rPr>
        <w:t xml:space="preserve">第一条 </w:t>
      </w:r>
      <w:r>
        <w:rPr>
          <w:rFonts w:hint="eastAsia" w:ascii="宋体" w:hAnsi="宋体" w:cs="宋体"/>
          <w:szCs w:val="21"/>
          <w:highlight w:val="none"/>
        </w:rPr>
        <w:t>各方必须严格遵守国家、行业和河南省、郑州市安全生产法律、法规的规定，保证本工程安全生产，文明施工工作，落实保护环境质量责任，依法承担建设工程安全生产责任。</w:t>
      </w:r>
    </w:p>
    <w:p>
      <w:pPr>
        <w:shd w:val="clear" w:fill="auto"/>
        <w:spacing w:line="360" w:lineRule="auto"/>
        <w:ind w:firstLine="422" w:firstLineChars="200"/>
        <w:outlineLvl w:val="9"/>
        <w:rPr>
          <w:rFonts w:ascii="宋体" w:hAnsi="宋体" w:cs="宋体"/>
          <w:szCs w:val="21"/>
          <w:highlight w:val="none"/>
        </w:rPr>
      </w:pPr>
      <w:r>
        <w:rPr>
          <w:rFonts w:hint="eastAsia" w:ascii="宋体" w:hAnsi="宋体" w:cs="宋体"/>
          <w:b/>
          <w:bCs/>
          <w:szCs w:val="21"/>
          <w:highlight w:val="none"/>
        </w:rPr>
        <w:t xml:space="preserve">第二条 </w:t>
      </w:r>
      <w:r>
        <w:rPr>
          <w:rFonts w:hint="eastAsia" w:ascii="宋体" w:hAnsi="宋体" w:cs="宋体"/>
          <w:szCs w:val="21"/>
          <w:highlight w:val="none"/>
        </w:rPr>
        <w:t>发包人的权利与义务：</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（一）审核承包人的资质及合同履行能力，审核项目负责人、项目技术负责人、项目专职安全管理人员的资质。</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（二）向承包人移交本工程施工场地，并明确承包人进入施工场地的安全责任。</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（三）在工程施工前向承包人提供本工程施工现场及毗邻区域内地上、地下管线资料；气象和水文地质资料；相邻建（构）筑物资料。并保证资料的真实、准确、完整。</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（四）提供本工程安全作业环境及安全施工措施所需费用，按甲乙双方确认的安全文明施工措施费用付款计划按时、足额向承包人付款。</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（五）不对承包人提出不符合建设工程安全生产法律、法规和强制性标准规定的要求，不压缩合同约定的工期。</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（六）不明示或者暗示承包人购买、租赁、使用不符合安全施工要求的安全防护用具、机械设备、施工机具及配件、消防设施和器材。</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七）有权对承包人安全生产进行监督检查，对存在的问题和隐患，有权制止，责成其改正，并可视为违约给予经济处罚；对不按要求改正者，发包人有权加重经济处罚；对拒不整改的，发包人有权按照合同约定追究承包人的违约责任，并向有关部门报告；凡发生事故的，发包人可按其造成的后果及影响，追究承包人的违约责任。</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（八）行使与承包人签订的施工合同中安全方面条款规定的发包人的权利与义务；</w:t>
      </w:r>
    </w:p>
    <w:p>
      <w:pPr>
        <w:shd w:val="clear" w:fill="auto"/>
        <w:spacing w:line="360" w:lineRule="auto"/>
        <w:ind w:firstLine="422" w:firstLineChars="200"/>
        <w:outlineLvl w:val="9"/>
        <w:rPr>
          <w:rFonts w:ascii="宋体" w:hAnsi="宋体" w:cs="宋体"/>
          <w:szCs w:val="21"/>
          <w:highlight w:val="none"/>
        </w:rPr>
      </w:pPr>
      <w:r>
        <w:rPr>
          <w:rFonts w:hint="eastAsia" w:ascii="宋体" w:hAnsi="宋体" w:cs="宋体"/>
          <w:b/>
          <w:bCs/>
          <w:szCs w:val="21"/>
          <w:highlight w:val="none"/>
        </w:rPr>
        <w:t xml:space="preserve">第三条 </w:t>
      </w:r>
      <w:r>
        <w:rPr>
          <w:rFonts w:hint="eastAsia" w:ascii="宋体" w:hAnsi="宋体" w:cs="宋体"/>
          <w:szCs w:val="21"/>
          <w:highlight w:val="none"/>
        </w:rPr>
        <w:t>承包人的权利和义务：</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（一）承包单位的主要负责人是本单位安全生产第一责任人，对本单位的安全生产工作全面负责。其他负责人对职责范围内的安全生产工作负责。</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二）承包人是本工程施工现场安全生产总负责人，对本工程施工现场安全生产工作全面负责，确保生产安全、工程安全和不因工程施工而危及周边建(构)筑物、各种管线、道路交通等公众环境安全及人身财产安全。</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二）建立健全并落实本工程项目的安全生产责任制度、各项安全生产规章制度和操作规程，设立安全生产管理机构，确定主管安全的负责人，配备专业齐全且不少于合同约定数量的专职安全生产管理人员。承包人的项目负责人、项目技术负责人、专职安全生产管理人员须有相应的执业资格，经建设行政主管部门考核合格，并取得安全生产考核合格证书。上述人员应报监理方核查、报发包人备案，未经发包人同意不得随意更换，对施工中的特种作业人员承包人必须选取合格的持证人员上岗。</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三）施工合同中明确的安全文明施工措施费用必须用于所承担的工程项目施工安全防护用具及设施的采购和更新、安全施工措施的落实、安全生产条件的改善，不得挪作他用。在财务管理中应单独列出安全文明施工措施项目清单和费用清单。</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四）依据有关规定和合同约定履行施工现场总负责单位的权利、义务，与其他和工程有关的由发包人直接发包的承包人签订安全生产协议书，明确各自的安全生产方面的权利、义务，统一管理施工现场临时用电、防护设施、明火作业和进出洞口等，并承担相应的责任。</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五）建立完整的安全教育培训计划和培训档案，按计划、定期组织安全教育培训，施工作业前必须按有关规定向作业人员进行安全技术交底，不得安排未经安全生产教育培训或考试不合格的施工人员上岗作业；使用新技术、新工艺、新设备、新材料时应对作业人员进行相应的安全生产教育培训。</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六）进行定期、不定期的全面和专项安全检查，及时消除安全事故隐患，对涉及相邻建(构)筑物、地下线管线等周边环境安全的重大风险点和危险性较大的分部分项工程，应派专人监督安全生产，对每个作业班次安全生产情况进行监督检查，关键工序实施现场时时监督检查，检查应留有记录。</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（七）认真执行国家、行业和河南省、郑州市关于安全生产的规范、标准、有关规定，做好施工现场实体防护，并在施工现场的各个危险部位设置符合国家标准的明显的安全警示标志。</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八）对发包人提供的地质勘查、市政管线、相邻建（构）筑物等相关资料的准确性进行核查，如果发现资料与实际不符，应当立即向发包人和监理方报告，并要求补充相关资料。施工作业前必须对地下管线进行物探。</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九）根据有关规范、规程、标准及发包人提供的相关资料，制定有针对性的施工组织设计，施工组织设计应有包括保证相邻建（构）筑物、地下线管线及周边公众环境安全在内的安全技术措施和施工现场临时用电方案；对涉及相邻建（构）筑物、地下线管线等周边环境安全的重大风险点和达到一定规模的危险性较大的分部分项工程应编制专项施工方案，组织专家论证，并应符合编制、审批程序。</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十）施工前，须认真审阅经发包人确认并提供的施工图纸，发现设计图纸与规范要求不符或设计图纸标注不明时，应立即与设计单位联系，并及时形成文字记录。对有关安全施工的技术要求向施工作业班组、作业人员作出详细说明，由双方签字确认。</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十一）在施工过程中，应严格按照工程建设强制性标准和审查后的施工图纸、施工方案施工，不允许随意改变、简化施工程序、工法、工艺和各项安全防范措施，落实对周边建（构）筑物、地下管线、道路设施等公众环境的保护措施，严格控制地表沉降，如遇有不明情况，应及时与有关部门联系，确定解决方案。</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十二）做好工程及周边环境的监控量测工作，施工前应制订监控量测方案，监控量测方案及其布点应符合设计和相关标准要求。监控量测数据要求准确可靠，并及时绘制曲线图表，出现异常情况要及时采取有效措施，并立即报告发包人。</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（十三）根据不同施工阶段和周围环境及季节、气候的变化，采取相应的安全施工措施；根据有关规定，落实各项文明施工和环境保护措施；施工现场暂时停止施工的，应当做好现场防护。</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十四）施工现场使用的安全防护用具、车辆、机械设备和施工机具及配件应符合国家标准或行业标准，起重机械、大型机械设备必须符合国家标准，应当具有生产制造单位的生产（制造）许可证、产品合格证，相应资质的检测机构出具的在有效的检测期内的检测合格证明，并经进场查验合格后方可使用；使用中应设有专人管理，定期进行检查、维修和保养；不得使用存在安全隐患或国家规定应该报废和淘汰的车辆、设备、机具、设施。</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按有关规定在施工现场安装、拆卸施工起重机械和设施等，必须由具有相应资质的单位承担，应当编制拆装方案、制定安全施工措施，并由专业技术人员现场监督。安装完毕后，安装单位应当自检，出具自检合格证明，并向施工单位进行安全使用说明，办理验收手续并签字。</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十五）建立施工现场消防安全责任制度，确定消防安全责任人，制定各项消防安全管理制度和操作规程，按有关法律法规和强制性标准要求设置消防通道、消防水源、配备消防设施和灭火器材，并在施工现场入口处设置明显标志。</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十六）结合所承担工程项目的实际情况，制定应对包括自然灾害在内的各种突发事件应急救援预案，建立应急救援组织，配备应急救援人员和必要的应急救援器材、设备，并定期组织演练。发生突发事件立即组织进行紧急处置避免事态扩大，并按有关法律、法规和强制性标准的要求立即上报，并立即通知监理人，同时通知发包人；发包人有权向有关政府部门报告，但不替代承包人的上报”。</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（十七）按照规定为施工作业人员、工程管理人员、其他按照国家和郑州市的规定应当承保人员等人员依法参加工伤保险，并缴纳保险费用。</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十八）接受发包人和监理对安全生产的监督管理，对发包人、监理方及有关方面在安全检查中要求进行整改的安全事故隐患和不安全行为，立即进行改正。参加发包人组织的安全评比活动，并按活动规则接受奖惩。</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（十九）行使与发包人签订的施工合同中安全方面条款规定的承包人的权利与义务。</w:t>
      </w:r>
    </w:p>
    <w:p>
      <w:pPr>
        <w:shd w:val="clear" w:fill="auto"/>
        <w:spacing w:line="360" w:lineRule="auto"/>
        <w:ind w:firstLine="422" w:firstLineChars="200"/>
        <w:outlineLvl w:val="9"/>
        <w:rPr>
          <w:rFonts w:ascii="宋体" w:hAnsi="宋体" w:cs="宋体"/>
          <w:szCs w:val="21"/>
          <w:highlight w:val="none"/>
        </w:rPr>
      </w:pPr>
      <w:r>
        <w:rPr>
          <w:rFonts w:hint="eastAsia" w:ascii="宋体" w:hAnsi="宋体" w:cs="宋体"/>
          <w:b/>
          <w:bCs/>
          <w:szCs w:val="21"/>
          <w:highlight w:val="none"/>
        </w:rPr>
        <w:t xml:space="preserve">第四条 </w:t>
      </w:r>
      <w:r>
        <w:rPr>
          <w:rFonts w:hint="eastAsia" w:ascii="宋体" w:hAnsi="宋体" w:cs="宋体"/>
          <w:szCs w:val="21"/>
          <w:highlight w:val="none"/>
        </w:rPr>
        <w:t>违约责任</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一）发生安全事故，承包人应在抢救受伤人员、减少进一步损失、保护现场的同时，按有关法律、法规和强制性标准的要求立即上报，并立即通知监理人，同时通知发包人，并不得隐瞒事故真相，如有违反，导致事故责任无法确认的，事故责任及事故损失均由承包人承担。发包人有权向有关政府部门报告，但不替代承包人的上报</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二）发生《生产安全事故调查处理条例》（国务院第493号令）中规定的一般等级以上（含一般）事故的，以及发生因工程施工原因导致对地面建（构）筑物等周边环境或各类市政基础设施的安全运营造成重大隐患，影响其使用功能或损坏，需要组织社会力量紧急抢险的事故，除发包人有权视情况从应支付给承包人的工程款中扣除10000～100000元作为违约金外，承包人还应按有关规定承担因事故造成的经济损失及因承包人责任给发包人造成的连带经济损失</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（三）对在各级各类安全检查中问题较多或情况比较严重或未按要求整改的，发包人有权从应支付给承包人的工程款中扣处1000～10000元作为违约金。</w:t>
      </w:r>
    </w:p>
    <w:p>
      <w:pPr>
        <w:shd w:val="clear" w:fill="auto"/>
        <w:spacing w:line="360" w:lineRule="auto"/>
        <w:ind w:firstLine="422" w:firstLineChars="200"/>
        <w:outlineLvl w:val="9"/>
        <w:rPr>
          <w:rFonts w:ascii="宋体" w:hAnsi="宋体" w:cs="宋体"/>
          <w:szCs w:val="21"/>
          <w:highlight w:val="none"/>
        </w:rPr>
      </w:pPr>
      <w:r>
        <w:rPr>
          <w:rFonts w:hint="eastAsia" w:ascii="宋体" w:hAnsi="宋体" w:cs="宋体"/>
          <w:b/>
          <w:bCs/>
          <w:szCs w:val="21"/>
          <w:highlight w:val="none"/>
        </w:rPr>
        <w:t xml:space="preserve">第五条 </w:t>
      </w:r>
      <w:r>
        <w:rPr>
          <w:rFonts w:hint="eastAsia" w:ascii="宋体" w:hAnsi="宋体" w:cs="宋体"/>
          <w:szCs w:val="21"/>
          <w:highlight w:val="none"/>
        </w:rPr>
        <w:t>本协议条款与国家和河南省、郑州市的有关法规不符时，按国家和郑州市的有关法律法规执行。</w:t>
      </w:r>
    </w:p>
    <w:p>
      <w:pPr>
        <w:shd w:val="clear" w:fill="auto"/>
        <w:spacing w:line="360" w:lineRule="auto"/>
        <w:ind w:firstLine="422" w:firstLineChars="200"/>
        <w:outlineLvl w:val="9"/>
        <w:rPr>
          <w:rFonts w:ascii="宋体" w:hAnsi="宋体" w:cs="宋体"/>
          <w:szCs w:val="21"/>
          <w:highlight w:val="none"/>
        </w:rPr>
      </w:pPr>
      <w:r>
        <w:rPr>
          <w:rFonts w:hint="eastAsia" w:ascii="宋体" w:hAnsi="宋体" w:cs="宋体"/>
          <w:b/>
          <w:bCs/>
          <w:szCs w:val="21"/>
          <w:highlight w:val="none"/>
        </w:rPr>
        <w:t>第六条</w:t>
      </w:r>
      <w:r>
        <w:rPr>
          <w:rFonts w:hint="eastAsia" w:ascii="宋体" w:hAnsi="宋体" w:cs="宋体"/>
          <w:szCs w:val="21"/>
          <w:highlight w:val="none"/>
        </w:rPr>
        <w:t xml:space="preserve"> 本协议作为甲、乙双方签订的施工合同的附件，与上述合同具有同等法律效力，与上述合同时生效和终止。</w:t>
      </w:r>
    </w:p>
    <w:p>
      <w:pPr>
        <w:shd w:val="clear" w:fill="auto"/>
        <w:spacing w:line="360" w:lineRule="auto"/>
        <w:ind w:firstLine="422" w:firstLineChars="200"/>
        <w:outlineLvl w:val="9"/>
        <w:rPr>
          <w:rFonts w:ascii="宋体" w:hAnsi="宋体" w:cs="宋体"/>
          <w:szCs w:val="21"/>
          <w:highlight w:val="none"/>
        </w:rPr>
      </w:pPr>
      <w:r>
        <w:rPr>
          <w:rFonts w:hint="eastAsia" w:ascii="宋体" w:hAnsi="宋体" w:cs="宋体"/>
          <w:b/>
          <w:bCs/>
          <w:szCs w:val="21"/>
          <w:highlight w:val="none"/>
        </w:rPr>
        <w:t xml:space="preserve">第七条 </w:t>
      </w:r>
      <w:r>
        <w:rPr>
          <w:rFonts w:hint="eastAsia" w:ascii="宋体" w:hAnsi="宋体" w:cs="宋体"/>
          <w:szCs w:val="21"/>
          <w:highlight w:val="none"/>
        </w:rPr>
        <w:t>本协议未尽之事项，依据国家和河南省、郑州市的有关法律、法规处理，法律法规未作明确规定的，可由双方协商处理解决。</w:t>
      </w:r>
    </w:p>
    <w:p>
      <w:pPr>
        <w:shd w:val="clear" w:fill="auto"/>
        <w:spacing w:line="360" w:lineRule="auto"/>
        <w:ind w:firstLine="420" w:firstLineChars="200"/>
        <w:outlineLvl w:val="9"/>
        <w:rPr>
          <w:rFonts w:hint="eastAsia" w:ascii="宋体" w:hAnsi="宋体" w:cs="宋体"/>
          <w:szCs w:val="21"/>
          <w:highlight w:val="none"/>
        </w:rPr>
      </w:pPr>
    </w:p>
    <w:p>
      <w:pPr>
        <w:shd w:val="clear" w:fill="auto"/>
        <w:spacing w:line="360" w:lineRule="auto"/>
        <w:ind w:firstLine="420" w:firstLineChars="200"/>
        <w:outlineLvl w:val="9"/>
        <w:rPr>
          <w:rFonts w:hint="eastAsia" w:ascii="宋体" w:hAnsi="宋体" w:cs="宋体"/>
          <w:szCs w:val="21"/>
          <w:highlight w:val="none"/>
        </w:rPr>
      </w:pP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甲方（公章）：                                         乙方（公章）：</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法定代表人                                            法定代表人</w:t>
      </w:r>
    </w:p>
    <w:p>
      <w:pPr>
        <w:shd w:val="clear" w:fill="auto"/>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或授权代理人（签字）：                                 或授权代理人（签字）：　　　　　　　　</w:t>
      </w:r>
    </w:p>
    <w:p>
      <w:pPr>
        <w:shd w:val="clear" w:fill="auto"/>
        <w:ind w:firstLine="420" w:firstLineChars="200"/>
        <w:outlineLvl w:val="9"/>
        <w:rPr>
          <w:highlight w:val="none"/>
        </w:rPr>
      </w:pPr>
      <w:r>
        <w:rPr>
          <w:rFonts w:hint="eastAsia" w:ascii="宋体" w:hAnsi="宋体" w:cs="宋体"/>
          <w:szCs w:val="21"/>
          <w:highlight w:val="none"/>
        </w:rPr>
        <w:t>年　月　日　　　　　　　                               年　月　日</w:t>
      </w:r>
    </w:p>
    <w:p>
      <w:pPr>
        <w:pageBreakBefore w:val="0"/>
        <w:shd w:val="clear" w:fill="auto"/>
        <w:kinsoku/>
        <w:wordWrap/>
        <w:overflowPunct/>
        <w:topLinePunct w:val="0"/>
        <w:bidi w:val="0"/>
        <w:spacing w:line="360" w:lineRule="auto"/>
        <w:ind w:left="0" w:leftChars="0" w:right="0" w:rightChars="0"/>
        <w:rPr>
          <w:rFonts w:hint="eastAsia" w:ascii="宋体" w:hAnsi="宋体" w:eastAsia="宋体" w:cs="宋体"/>
          <w:color w:val="auto"/>
          <w:highlight w:val="none"/>
        </w:rPr>
      </w:pPr>
    </w:p>
    <w:p>
      <w:pPr>
        <w:pStyle w:val="27"/>
        <w:pageBreakBefore w:val="0"/>
        <w:shd w:val="clear" w:fill="auto"/>
        <w:kinsoku/>
        <w:wordWrap/>
        <w:overflowPunct/>
        <w:topLinePunct w:val="0"/>
        <w:bidi w:val="0"/>
        <w:spacing w:after="0" w:line="360" w:lineRule="auto"/>
        <w:ind w:left="0" w:leftChars="0" w:right="0" w:rightChars="0"/>
        <w:rPr>
          <w:rFonts w:hint="eastAsia" w:ascii="宋体" w:hAnsi="宋体" w:eastAsia="宋体" w:cs="宋体"/>
          <w:color w:val="auto"/>
          <w:sz w:val="24"/>
          <w:szCs w:val="24"/>
          <w:highlight w:val="none"/>
          <w:lang w:val="en-US" w:eastAsia="zh-CN"/>
        </w:rPr>
      </w:pPr>
    </w:p>
    <w:p>
      <w:pPr>
        <w:shd w:val="clear" w:fill="auto"/>
        <w:autoSpaceDE w:val="0"/>
        <w:autoSpaceDN w:val="0"/>
        <w:adjustRightInd w:val="0"/>
        <w:snapToGrid w:val="0"/>
        <w:spacing w:line="360" w:lineRule="auto"/>
        <w:rPr>
          <w:rFonts w:ascii="仿宋_GB2312" w:hAnsi="仿宋" w:eastAsia="仿宋_GB2312" w:cs="仿宋"/>
          <w:color w:val="0C0C0C"/>
          <w:kern w:val="0"/>
          <w:sz w:val="30"/>
          <w:szCs w:val="30"/>
          <w:highlight w:val="none"/>
        </w:rPr>
      </w:pPr>
    </w:p>
    <w:p>
      <w:pPr>
        <w:pStyle w:val="45"/>
        <w:shd w:val="clear" w:fill="auto"/>
        <w:rPr>
          <w:rFonts w:hint="eastAsia" w:ascii="宋体" w:hAnsi="宋体"/>
          <w:color w:val="000000"/>
          <w:highlight w:val="none"/>
          <w:u w:val="single"/>
        </w:rPr>
      </w:pPr>
    </w:p>
    <w:p>
      <w:pPr>
        <w:shd w:val="clear" w:fill="auto"/>
        <w:rPr>
          <w:rFonts w:hint="eastAsia" w:ascii="宋体" w:hAnsi="宋体"/>
          <w:color w:val="000000"/>
          <w:highlight w:val="none"/>
          <w:u w:val="single"/>
        </w:rPr>
      </w:pPr>
    </w:p>
    <w:p>
      <w:pPr>
        <w:shd w:val="clear" w:fill="auto"/>
        <w:outlineLvl w:val="9"/>
        <w:rPr>
          <w:rFonts w:hint="eastAsia" w:ascii="宋体" w:hAnsi="宋体"/>
          <w:color w:val="000000"/>
          <w:highlight w:val="none"/>
          <w:u w:val="single"/>
        </w:rPr>
      </w:pPr>
    </w:p>
    <w:p>
      <w:pPr>
        <w:shd w:val="clear" w:fill="auto"/>
        <w:outlineLvl w:val="9"/>
        <w:rPr>
          <w:rFonts w:hint="eastAsia" w:ascii="宋体" w:hAnsi="宋体"/>
          <w:color w:val="000000"/>
          <w:highlight w:val="none"/>
          <w:u w:val="single"/>
        </w:rPr>
      </w:pPr>
    </w:p>
    <w:p>
      <w:pPr>
        <w:shd w:val="clear" w:fill="auto"/>
        <w:outlineLvl w:val="9"/>
        <w:rPr>
          <w:rFonts w:hint="eastAsia" w:ascii="宋体" w:hAnsi="宋体"/>
          <w:color w:val="000000"/>
          <w:highlight w:val="none"/>
          <w:u w:val="single"/>
        </w:rPr>
      </w:pPr>
    </w:p>
    <w:p>
      <w:pPr>
        <w:shd w:val="clear" w:fill="auto"/>
        <w:outlineLvl w:val="9"/>
        <w:rPr>
          <w:rFonts w:hint="eastAsia" w:ascii="宋体" w:hAnsi="宋体"/>
          <w:color w:val="000000"/>
          <w:highlight w:val="none"/>
          <w:u w:val="single"/>
        </w:rPr>
      </w:pPr>
    </w:p>
    <w:p>
      <w:pPr>
        <w:ind w:firstLine="3300" w:firstLineChars="1100"/>
        <w:outlineLvl w:val="9"/>
        <w:rPr>
          <w:rFonts w:hint="eastAsia" w:ascii="宋体" w:hAnsi="宋体" w:eastAsia="宋体" w:cs="宋体"/>
          <w:b w:val="0"/>
          <w:sz w:val="30"/>
          <w:szCs w:val="30"/>
          <w:highlight w:val="yellow"/>
        </w:rPr>
      </w:pPr>
      <w:bookmarkStart w:id="834" w:name="_Toc1792836188"/>
      <w:bookmarkStart w:id="835" w:name="_Toc2133128467"/>
      <w:bookmarkStart w:id="836" w:name="_Toc13358"/>
      <w:bookmarkStart w:id="837" w:name="_Toc17667"/>
      <w:r>
        <w:rPr>
          <w:rFonts w:hint="eastAsia" w:ascii="宋体" w:hAnsi="宋体" w:eastAsia="宋体" w:cs="宋体"/>
          <w:b w:val="0"/>
          <w:sz w:val="30"/>
          <w:szCs w:val="30"/>
          <w:highlight w:val="yellow"/>
        </w:rPr>
        <w:t>绿化养护责任书</w:t>
      </w:r>
      <w:bookmarkEnd w:id="834"/>
      <w:bookmarkEnd w:id="835"/>
    </w:p>
    <w:p>
      <w:pPr>
        <w:ind w:firstLine="3300" w:firstLineChars="1100"/>
        <w:outlineLvl w:val="9"/>
        <w:rPr>
          <w:rFonts w:hint="eastAsia" w:ascii="宋体" w:hAnsi="宋体" w:eastAsia="宋体" w:cs="宋体"/>
          <w:b w:val="0"/>
          <w:sz w:val="30"/>
          <w:szCs w:val="30"/>
          <w:highlight w:val="yellow"/>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00"/>
        <w:jc w:val="distribute"/>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yellow"/>
        </w:rPr>
        <w:t>发包人和承包人根据</w:t>
      </w:r>
      <w:r>
        <w:rPr>
          <w:rFonts w:hint="eastAsia" w:ascii="宋体" w:hAnsi="宋体" w:eastAsia="宋体" w:cs="宋体"/>
          <w:color w:val="000000"/>
          <w:sz w:val="21"/>
          <w:szCs w:val="21"/>
          <w:highlight w:val="yellow"/>
        </w:rPr>
        <w:t>《园林绿化养护标准》</w:t>
      </w:r>
      <w:r>
        <w:rPr>
          <w:rFonts w:hint="eastAsia" w:ascii="宋体" w:hAnsi="宋体" w:eastAsia="宋体" w:cs="宋体"/>
          <w:sz w:val="21"/>
          <w:szCs w:val="21"/>
          <w:highlight w:val="yellow"/>
        </w:rPr>
        <w:t>（</w:t>
      </w:r>
      <w:r>
        <w:rPr>
          <w:rFonts w:hint="eastAsia" w:ascii="宋体" w:hAnsi="宋体" w:eastAsia="宋体" w:cs="宋体"/>
          <w:color w:val="000000"/>
          <w:sz w:val="21"/>
          <w:szCs w:val="21"/>
          <w:highlight w:val="yellow"/>
        </w:rPr>
        <w:t>CJJ/T287</w:t>
      </w:r>
      <w:r>
        <w:rPr>
          <w:rFonts w:hint="eastAsia" w:ascii="宋体" w:hAnsi="宋体" w:eastAsia="宋体" w:cs="宋体"/>
          <w:sz w:val="21"/>
          <w:szCs w:val="21"/>
          <w:highlight w:val="yellow"/>
        </w:rPr>
        <w:t>）或</w:t>
      </w:r>
    </w:p>
    <w:p>
      <w:pPr>
        <w:keepNext w:val="0"/>
        <w:keepLines w:val="0"/>
        <w:pageBreakBefore w:val="0"/>
        <w:widowControl w:val="0"/>
        <w:kinsoku/>
        <w:wordWrap/>
        <w:overflowPunct/>
        <w:topLinePunct w:val="0"/>
        <w:autoSpaceDE/>
        <w:autoSpaceDN/>
        <w:bidi w:val="0"/>
        <w:adjustRightInd/>
        <w:snapToGrid w:val="0"/>
        <w:spacing w:line="360" w:lineRule="auto"/>
        <w:ind w:left="0" w:leftChars="0"/>
        <w:jc w:val="left"/>
        <w:textAlignment w:val="auto"/>
        <w:rPr>
          <w:rFonts w:hint="eastAsia" w:ascii="宋体" w:hAnsi="宋体" w:eastAsia="宋体" w:cs="宋体"/>
          <w:sz w:val="21"/>
          <w:szCs w:val="21"/>
          <w:highlight w:val="yellow"/>
          <w:u w:val="single"/>
          <w:lang w:val="en-US" w:eastAsia="zh-CN"/>
        </w:rPr>
      </w:pP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highlight w:val="yellow"/>
          <w:u w:val="single"/>
          <w:lang w:val="en-US" w:eastAsia="zh-CN"/>
        </w:rPr>
        <w:t xml:space="preserve"> </w:t>
      </w: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highlight w:val="yellow"/>
        </w:rPr>
        <w:t>（地方标准）</w:t>
      </w:r>
      <w:r>
        <w:rPr>
          <w:rFonts w:hint="eastAsia" w:ascii="宋体" w:hAnsi="宋体" w:eastAsia="宋体" w:cs="宋体"/>
          <w:color w:val="000000"/>
          <w:sz w:val="21"/>
          <w:szCs w:val="21"/>
          <w:highlight w:val="yellow"/>
        </w:rPr>
        <w:t>等相关规定</w:t>
      </w:r>
      <w:r>
        <w:rPr>
          <w:rFonts w:hint="eastAsia" w:ascii="宋体" w:hAnsi="宋体" w:eastAsia="宋体" w:cs="宋体"/>
          <w:sz w:val="21"/>
          <w:szCs w:val="21"/>
          <w:highlight w:val="yellow"/>
        </w:rPr>
        <w:t>，经协商一致就</w:t>
      </w: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highlight w:val="yellow"/>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jc w:val="left"/>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yellow"/>
          <w:u w:val="single"/>
          <w:lang w:val="en-US" w:eastAsia="zh-CN"/>
        </w:rPr>
        <w:t xml:space="preserve">                    </w:t>
      </w:r>
      <w:r>
        <w:rPr>
          <w:rFonts w:hint="eastAsia" w:ascii="宋体" w:hAnsi="宋体" w:eastAsia="宋体" w:cs="宋体"/>
          <w:sz w:val="21"/>
          <w:szCs w:val="21"/>
          <w:highlight w:val="yellow"/>
        </w:rPr>
        <w:t>（工程全称）签订绿化养护责任书。</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00"/>
        <w:jc w:val="both"/>
        <w:textAlignment w:val="auto"/>
        <w:rPr>
          <w:rFonts w:hint="eastAsia" w:ascii="宋体" w:hAnsi="宋体" w:eastAsia="宋体" w:cs="宋体"/>
          <w:b/>
          <w:sz w:val="21"/>
          <w:szCs w:val="21"/>
          <w:highlight w:val="yellow"/>
        </w:rPr>
      </w:pPr>
      <w:r>
        <w:rPr>
          <w:rFonts w:hint="eastAsia" w:ascii="宋体" w:hAnsi="宋体" w:eastAsia="宋体" w:cs="宋体"/>
          <w:b/>
          <w:sz w:val="21"/>
          <w:szCs w:val="21"/>
          <w:highlight w:val="yellow"/>
        </w:rPr>
        <w:t>一、责任范围和内容</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00"/>
        <w:jc w:val="both"/>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yellow"/>
        </w:rPr>
        <w:t>承包人在绿化养护期内，按照有关法律规定和合同约定，承担施工范围内的绿化养护责任。</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00"/>
        <w:jc w:val="both"/>
        <w:textAlignment w:val="auto"/>
        <w:rPr>
          <w:rFonts w:hint="eastAsia" w:ascii="宋体" w:hAnsi="宋体" w:eastAsia="宋体" w:cs="宋体"/>
          <w:sz w:val="21"/>
          <w:szCs w:val="21"/>
          <w:highlight w:val="yellow"/>
          <w:u w:val="single"/>
        </w:rPr>
      </w:pPr>
      <w:r>
        <w:rPr>
          <w:rFonts w:hint="eastAsia" w:ascii="宋体" w:hAnsi="宋体" w:eastAsia="宋体" w:cs="宋体"/>
          <w:sz w:val="21"/>
          <w:szCs w:val="21"/>
          <w:highlight w:val="yellow"/>
        </w:rPr>
        <w:t>内容包括对养护范围内植物采取的整形修剪、松土除草、灌溉与排水、施肥、有害生物防治、改植与补植、绿地防护（如防台风、防寒）等技术措施；</w:t>
      </w:r>
      <w:r>
        <w:rPr>
          <w:rFonts w:hint="eastAsia" w:ascii="宋体" w:hAnsi="宋体" w:eastAsia="宋体" w:cs="宋体"/>
          <w:bCs/>
          <w:color w:val="000000"/>
          <w:sz w:val="21"/>
          <w:szCs w:val="21"/>
          <w:highlight w:val="yellow"/>
        </w:rPr>
        <w:t>其他内容</w:t>
      </w:r>
      <w:r>
        <w:rPr>
          <w:rFonts w:hint="eastAsia" w:ascii="宋体" w:hAnsi="宋体" w:eastAsia="宋体" w:cs="宋体"/>
          <w:sz w:val="21"/>
          <w:szCs w:val="21"/>
          <w:highlight w:val="yellow"/>
        </w:rPr>
        <w:t>双方约定如下：</w:t>
      </w:r>
      <w:r>
        <w:rPr>
          <w:rFonts w:hint="eastAsia" w:ascii="宋体" w:hAnsi="宋体" w:eastAsia="宋体" w:cs="宋体"/>
          <w:sz w:val="21"/>
          <w:szCs w:val="21"/>
          <w:highlight w:val="yellow"/>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jc w:val="both"/>
        <w:textAlignment w:val="auto"/>
        <w:rPr>
          <w:rFonts w:hint="eastAsia" w:ascii="宋体" w:hAnsi="宋体" w:eastAsia="宋体" w:cs="宋体"/>
          <w:sz w:val="21"/>
          <w:szCs w:val="21"/>
          <w:highlight w:val="yellow"/>
          <w:u w:val="single"/>
        </w:rPr>
      </w:pP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highlight w:val="yellow"/>
          <w:u w:val="single"/>
          <w:lang w:val="en-US" w:eastAsia="zh-CN"/>
        </w:rPr>
        <w:t xml:space="preserve">                                             </w:t>
      </w:r>
      <w:r>
        <w:rPr>
          <w:rFonts w:hint="eastAsia" w:ascii="宋体" w:hAnsi="宋体" w:eastAsia="宋体" w:cs="宋体"/>
          <w:sz w:val="21"/>
          <w:szCs w:val="21"/>
          <w:highlight w:val="yellow"/>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00"/>
        <w:textAlignment w:val="auto"/>
        <w:rPr>
          <w:rFonts w:hint="eastAsia" w:ascii="宋体" w:hAnsi="宋体" w:eastAsia="宋体" w:cs="宋体"/>
          <w:b/>
          <w:sz w:val="21"/>
          <w:szCs w:val="21"/>
          <w:highlight w:val="yellow"/>
        </w:rPr>
      </w:pPr>
      <w:r>
        <w:rPr>
          <w:rFonts w:hint="eastAsia" w:ascii="宋体" w:hAnsi="宋体" w:eastAsia="宋体" w:cs="宋体"/>
          <w:b/>
          <w:sz w:val="21"/>
          <w:szCs w:val="21"/>
          <w:highlight w:val="yellow"/>
        </w:rPr>
        <w:t>二、养护标准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00"/>
        <w:jc w:val="distribute"/>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绿化养护质量</w:t>
      </w:r>
      <w:r>
        <w:rPr>
          <w:rFonts w:hint="eastAsia" w:ascii="宋体" w:hAnsi="宋体" w:eastAsia="宋体" w:cs="宋体"/>
          <w:color w:val="000000"/>
          <w:sz w:val="21"/>
          <w:szCs w:val="21"/>
          <w:highlight w:val="yellow"/>
          <w:lang w:eastAsia="zh-CN"/>
        </w:rPr>
        <w:t>按照</w:t>
      </w:r>
      <w:r>
        <w:rPr>
          <w:rFonts w:hint="eastAsia" w:ascii="宋体" w:hAnsi="宋体" w:eastAsia="宋体" w:cs="宋体"/>
          <w:color w:val="000000"/>
          <w:sz w:val="21"/>
          <w:szCs w:val="21"/>
          <w:highlight w:val="yellow"/>
        </w:rPr>
        <w:sym w:font="Wingdings" w:char="00A8"/>
      </w:r>
      <w:r>
        <w:rPr>
          <w:rFonts w:hint="eastAsia" w:ascii="宋体" w:hAnsi="宋体" w:eastAsia="宋体" w:cs="宋体"/>
          <w:color w:val="000000"/>
          <w:sz w:val="21"/>
          <w:szCs w:val="21"/>
          <w:highlight w:val="yellow"/>
        </w:rPr>
        <w:t>《园林绿化养护标准》（CJJ/T287）或</w:t>
      </w:r>
    </w:p>
    <w:p>
      <w:pPr>
        <w:keepNext w:val="0"/>
        <w:keepLines w:val="0"/>
        <w:pageBreakBefore w:val="0"/>
        <w:widowControl w:val="0"/>
        <w:kinsoku/>
        <w:wordWrap/>
        <w:overflowPunct/>
        <w:topLinePunct w:val="0"/>
        <w:autoSpaceDE/>
        <w:autoSpaceDN/>
        <w:bidi w:val="0"/>
        <w:adjustRightInd/>
        <w:snapToGrid w:val="0"/>
        <w:spacing w:line="360" w:lineRule="auto"/>
        <w:ind w:left="0" w:leftChars="0"/>
        <w:jc w:val="both"/>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sym w:font="Wingdings" w:char="00A8"/>
      </w:r>
      <w:r>
        <w:rPr>
          <w:rFonts w:hint="eastAsia" w:ascii="宋体" w:hAnsi="宋体" w:eastAsia="宋体" w:cs="宋体"/>
          <w:color w:val="000000"/>
          <w:sz w:val="21"/>
          <w:szCs w:val="21"/>
          <w:highlight w:val="yellow"/>
          <w:u w:val="single"/>
        </w:rPr>
        <w:t xml:space="preserve">                  </w:t>
      </w:r>
      <w:r>
        <w:rPr>
          <w:rFonts w:hint="eastAsia" w:ascii="宋体" w:hAnsi="宋体" w:eastAsia="宋体" w:cs="宋体"/>
          <w:color w:val="000000"/>
          <w:sz w:val="21"/>
          <w:szCs w:val="21"/>
          <w:highlight w:val="yellow"/>
        </w:rPr>
        <w:t>（地方标准）中</w:t>
      </w:r>
      <w:r>
        <w:rPr>
          <w:rFonts w:hint="eastAsia" w:ascii="宋体" w:hAnsi="宋体" w:eastAsia="宋体" w:cs="宋体"/>
          <w:color w:val="000000"/>
          <w:sz w:val="21"/>
          <w:szCs w:val="21"/>
          <w:highlight w:val="yellow"/>
          <w:u w:val="single"/>
        </w:rPr>
        <w:t xml:space="preserve">    </w:t>
      </w:r>
      <w:r>
        <w:rPr>
          <w:rFonts w:hint="eastAsia" w:ascii="宋体" w:hAnsi="宋体" w:eastAsia="宋体" w:cs="宋体"/>
          <w:color w:val="000000"/>
          <w:sz w:val="21"/>
          <w:szCs w:val="21"/>
          <w:highlight w:val="yellow"/>
        </w:rPr>
        <w:t>级标准。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00"/>
        <w:textAlignment w:val="auto"/>
        <w:rPr>
          <w:rFonts w:hint="eastAsia" w:ascii="宋体" w:hAnsi="宋体" w:eastAsia="宋体" w:cs="宋体"/>
          <w:b/>
          <w:sz w:val="21"/>
          <w:szCs w:val="21"/>
          <w:highlight w:val="yellow"/>
        </w:rPr>
      </w:pPr>
      <w:r>
        <w:rPr>
          <w:rFonts w:hint="eastAsia" w:ascii="宋体" w:hAnsi="宋体" w:eastAsia="宋体" w:cs="宋体"/>
          <w:b/>
          <w:sz w:val="21"/>
          <w:szCs w:val="21"/>
          <w:highlight w:val="yellow"/>
        </w:rPr>
        <w:t>三、考核标准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396" w:firstLineChars="189"/>
        <w:textAlignment w:val="auto"/>
        <w:rPr>
          <w:rFonts w:hint="eastAsia" w:ascii="宋体" w:hAnsi="宋体" w:eastAsia="宋体" w:cs="宋体"/>
          <w:sz w:val="21"/>
          <w:szCs w:val="21"/>
          <w:highlight w:val="yellow"/>
        </w:rPr>
      </w:pPr>
      <w:r>
        <w:rPr>
          <w:rFonts w:hint="eastAsia" w:ascii="宋体" w:hAnsi="宋体" w:eastAsia="宋体" w:cs="宋体"/>
          <w:color w:val="000000"/>
          <w:sz w:val="21"/>
          <w:szCs w:val="21"/>
          <w:highlight w:val="yellow"/>
        </w:rPr>
        <w:t>由发包人按</w:t>
      </w:r>
      <w:r>
        <w:rPr>
          <w:rFonts w:hint="eastAsia" w:ascii="宋体" w:hAnsi="宋体" w:eastAsia="宋体" w:cs="宋体"/>
          <w:color w:val="000000"/>
          <w:sz w:val="21"/>
          <w:szCs w:val="21"/>
          <w:highlight w:val="yellow"/>
          <w:u w:val="single"/>
        </w:rPr>
        <w:t xml:space="preserve">                     </w:t>
      </w:r>
      <w:r>
        <w:rPr>
          <w:rFonts w:hint="eastAsia" w:ascii="宋体" w:hAnsi="宋体" w:eastAsia="宋体" w:cs="宋体"/>
          <w:color w:val="000000"/>
          <w:sz w:val="21"/>
          <w:szCs w:val="21"/>
          <w:highlight w:val="yellow"/>
        </w:rPr>
        <w:t>（</w:t>
      </w:r>
      <w:r>
        <w:rPr>
          <w:rFonts w:hint="eastAsia" w:ascii="宋体" w:hAnsi="宋体" w:eastAsia="宋体" w:cs="宋体"/>
          <w:color w:val="000000"/>
          <w:sz w:val="21"/>
          <w:szCs w:val="21"/>
          <w:highlight w:val="yellow"/>
        </w:rPr>
        <w:sym w:font="Wingdings" w:char="00A8"/>
      </w:r>
      <w:r>
        <w:rPr>
          <w:rFonts w:hint="eastAsia" w:ascii="宋体" w:hAnsi="宋体" w:eastAsia="宋体" w:cs="宋体"/>
          <w:color w:val="000000"/>
          <w:sz w:val="21"/>
          <w:szCs w:val="21"/>
          <w:highlight w:val="yellow"/>
        </w:rPr>
        <w:t>国家标准</w:t>
      </w:r>
      <w:r>
        <w:rPr>
          <w:rFonts w:hint="eastAsia" w:ascii="宋体" w:hAnsi="宋体" w:eastAsia="宋体" w:cs="宋体"/>
          <w:color w:val="000000"/>
          <w:sz w:val="21"/>
          <w:szCs w:val="21"/>
          <w:highlight w:val="yellow"/>
        </w:rPr>
        <w:sym w:font="Wingdings" w:char="00A8"/>
      </w:r>
      <w:r>
        <w:rPr>
          <w:rFonts w:hint="eastAsia" w:ascii="宋体" w:hAnsi="宋体" w:eastAsia="宋体" w:cs="宋体"/>
          <w:color w:val="000000"/>
          <w:sz w:val="21"/>
          <w:szCs w:val="21"/>
          <w:highlight w:val="yellow"/>
        </w:rPr>
        <w:t>行业标准</w:t>
      </w:r>
      <w:r>
        <w:rPr>
          <w:rFonts w:hint="eastAsia" w:ascii="宋体" w:hAnsi="宋体" w:eastAsia="宋体" w:cs="宋体"/>
          <w:color w:val="000000"/>
          <w:sz w:val="21"/>
          <w:szCs w:val="21"/>
          <w:highlight w:val="yellow"/>
        </w:rPr>
        <w:sym w:font="Wingdings" w:char="00A8"/>
      </w:r>
      <w:r>
        <w:rPr>
          <w:rFonts w:hint="eastAsia" w:ascii="宋体" w:hAnsi="宋体" w:eastAsia="宋体" w:cs="宋体"/>
          <w:color w:val="000000"/>
          <w:sz w:val="21"/>
          <w:szCs w:val="21"/>
          <w:highlight w:val="yellow"/>
        </w:rPr>
        <w:t>地方标准）中</w:t>
      </w:r>
      <w:r>
        <w:rPr>
          <w:rFonts w:hint="eastAsia" w:ascii="宋体" w:hAnsi="宋体" w:eastAsia="宋体" w:cs="宋体"/>
          <w:color w:val="000000"/>
          <w:sz w:val="21"/>
          <w:szCs w:val="21"/>
          <w:highlight w:val="yellow"/>
          <w:u w:val="single"/>
        </w:rPr>
        <w:t xml:space="preserve">    </w:t>
      </w:r>
      <w:r>
        <w:rPr>
          <w:rFonts w:hint="eastAsia" w:ascii="宋体" w:hAnsi="宋体" w:eastAsia="宋体" w:cs="宋体"/>
          <w:color w:val="000000"/>
          <w:sz w:val="21"/>
          <w:szCs w:val="21"/>
          <w:highlight w:val="yellow"/>
        </w:rPr>
        <w:t>级标准进行考核，相关费用从质量保证金中扣除。</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00"/>
        <w:textAlignment w:val="auto"/>
        <w:rPr>
          <w:rFonts w:hint="eastAsia" w:ascii="宋体" w:hAnsi="宋体" w:eastAsia="宋体" w:cs="宋体"/>
          <w:b/>
          <w:sz w:val="21"/>
          <w:szCs w:val="21"/>
          <w:highlight w:val="yellow"/>
        </w:rPr>
      </w:pPr>
      <w:r>
        <w:rPr>
          <w:rFonts w:hint="eastAsia" w:ascii="宋体" w:hAnsi="宋体" w:eastAsia="宋体" w:cs="宋体"/>
          <w:b/>
          <w:sz w:val="21"/>
          <w:szCs w:val="21"/>
          <w:highlight w:val="yellow"/>
        </w:rPr>
        <w:t>四、绿化养护期</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00"/>
        <w:textAlignment w:val="auto"/>
        <w:rPr>
          <w:rFonts w:hint="eastAsia" w:ascii="宋体" w:hAnsi="宋体" w:eastAsia="宋体" w:cs="宋体"/>
          <w:color w:val="31849B"/>
          <w:sz w:val="21"/>
          <w:szCs w:val="21"/>
          <w:highlight w:val="yellow"/>
        </w:rPr>
      </w:pPr>
      <w:r>
        <w:rPr>
          <w:rFonts w:hint="eastAsia" w:ascii="宋体" w:hAnsi="宋体" w:eastAsia="宋体" w:cs="宋体"/>
          <w:color w:val="000000"/>
          <w:sz w:val="21"/>
          <w:szCs w:val="21"/>
          <w:highlight w:val="yellow"/>
        </w:rPr>
        <w:t>绿化养护期</w:t>
      </w:r>
      <w:r>
        <w:rPr>
          <w:rFonts w:hint="eastAsia" w:ascii="宋体" w:hAnsi="宋体" w:eastAsia="宋体" w:cs="宋体"/>
          <w:color w:val="000000"/>
          <w:sz w:val="21"/>
          <w:szCs w:val="21"/>
          <w:highlight w:val="yellow"/>
          <w:u w:val="single"/>
        </w:rPr>
        <w:t xml:space="preserve">    </w:t>
      </w:r>
      <w:r>
        <w:rPr>
          <w:rFonts w:hint="eastAsia" w:ascii="宋体" w:hAnsi="宋体" w:eastAsia="宋体" w:cs="宋体"/>
          <w:color w:val="000000"/>
          <w:sz w:val="21"/>
          <w:szCs w:val="21"/>
          <w:highlight w:val="yellow"/>
        </w:rPr>
        <w:t>个月</w:t>
      </w:r>
      <w:r>
        <w:rPr>
          <w:rFonts w:hint="eastAsia" w:ascii="宋体" w:hAnsi="宋体" w:eastAsia="宋体" w:cs="宋体"/>
          <w:sz w:val="21"/>
          <w:szCs w:val="21"/>
          <w:highlight w:val="yellow"/>
        </w:rPr>
        <w:t>，</w:t>
      </w:r>
      <w:r>
        <w:rPr>
          <w:rFonts w:hint="eastAsia" w:ascii="宋体" w:hAnsi="宋体" w:eastAsia="宋体" w:cs="宋体"/>
          <w:color w:val="000000"/>
          <w:kern w:val="0"/>
          <w:sz w:val="21"/>
          <w:szCs w:val="21"/>
          <w:highlight w:val="yellow"/>
        </w:rPr>
        <w:t>从工程竣工验收合格之日起计算</w:t>
      </w:r>
      <w:r>
        <w:rPr>
          <w:rFonts w:hint="eastAsia" w:ascii="宋体" w:hAnsi="宋体" w:eastAsia="宋体" w:cs="宋体"/>
          <w:sz w:val="21"/>
          <w:szCs w:val="21"/>
          <w:highlight w:val="yellow"/>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00"/>
        <w:textAlignment w:val="auto"/>
        <w:rPr>
          <w:rFonts w:hint="eastAsia" w:ascii="宋体" w:hAnsi="宋体" w:eastAsia="宋体" w:cs="宋体"/>
          <w:b/>
          <w:sz w:val="21"/>
          <w:szCs w:val="21"/>
          <w:highlight w:val="yellow"/>
        </w:rPr>
      </w:pPr>
      <w:r>
        <w:rPr>
          <w:rFonts w:hint="eastAsia" w:ascii="宋体" w:hAnsi="宋体" w:eastAsia="宋体" w:cs="宋体"/>
          <w:b/>
          <w:sz w:val="21"/>
          <w:szCs w:val="21"/>
          <w:highlight w:val="yellow"/>
        </w:rPr>
        <w:t>五、养护责任</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00"/>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yellow"/>
          <w:lang w:val="en-US" w:eastAsia="zh-CN"/>
        </w:rPr>
        <w:t>1</w:t>
      </w:r>
      <w:r>
        <w:rPr>
          <w:rFonts w:hint="eastAsia" w:ascii="宋体" w:hAnsi="宋体" w:eastAsia="宋体" w:cs="宋体"/>
          <w:sz w:val="21"/>
          <w:szCs w:val="21"/>
          <w:highlight w:val="yellow"/>
        </w:rPr>
        <w:t>．为确保养护质量，承包人应安排专业队伍和人员进行养护管理。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00"/>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yellow"/>
        </w:rPr>
        <w:t>2．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00"/>
        <w:textAlignment w:val="auto"/>
        <w:rPr>
          <w:rFonts w:hint="eastAsia" w:ascii="宋体" w:hAnsi="宋体" w:eastAsia="宋体" w:cs="宋体"/>
          <w:color w:val="000000"/>
          <w:sz w:val="21"/>
          <w:szCs w:val="21"/>
          <w:highlight w:val="yellow"/>
        </w:rPr>
      </w:pPr>
      <w:r>
        <w:rPr>
          <w:rFonts w:hint="eastAsia" w:ascii="宋体" w:hAnsi="宋体" w:eastAsia="宋体" w:cs="宋体"/>
          <w:sz w:val="21"/>
          <w:szCs w:val="21"/>
          <w:highlight w:val="yellow"/>
          <w:lang w:val="en-US" w:eastAsia="zh-CN"/>
        </w:rPr>
        <w:t>3</w:t>
      </w:r>
      <w:r>
        <w:rPr>
          <w:rFonts w:hint="eastAsia" w:ascii="宋体" w:hAnsi="宋体" w:eastAsia="宋体" w:cs="宋体"/>
          <w:sz w:val="21"/>
          <w:szCs w:val="21"/>
          <w:highlight w:val="yellow"/>
        </w:rPr>
        <w:t>．</w:t>
      </w:r>
      <w:r>
        <w:rPr>
          <w:rFonts w:hint="eastAsia" w:ascii="宋体" w:hAnsi="宋体" w:eastAsia="宋体" w:cs="宋体"/>
          <w:color w:val="000000"/>
          <w:sz w:val="21"/>
          <w:szCs w:val="21"/>
          <w:highlight w:val="yellow"/>
        </w:rPr>
        <w:t>苗木成活率按合同约定执行，发生苗木等植物材料死亡，须按原设计品种和规格及时更换，更换费用由承包人承担。</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00"/>
        <w:jc w:val="both"/>
        <w:textAlignment w:val="auto"/>
        <w:rPr>
          <w:rFonts w:hint="eastAsia" w:ascii="宋体" w:hAnsi="宋体" w:eastAsia="宋体" w:cs="宋体"/>
          <w:color w:val="000000"/>
          <w:sz w:val="21"/>
          <w:szCs w:val="21"/>
          <w:highlight w:val="yellow"/>
        </w:rPr>
      </w:pPr>
      <w:r>
        <w:rPr>
          <w:rFonts w:hint="eastAsia" w:ascii="宋体" w:hAnsi="宋体" w:eastAsia="宋体" w:cs="宋体"/>
          <w:sz w:val="21"/>
          <w:szCs w:val="21"/>
          <w:highlight w:val="yellow"/>
        </w:rPr>
        <w:t>4．绿化养护期满后，由发包人组织验收。</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30" w:firstLineChars="300"/>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yellow"/>
          <w:lang w:val="en-US" w:eastAsia="zh-CN"/>
        </w:rPr>
        <w:t>5</w:t>
      </w:r>
      <w:r>
        <w:rPr>
          <w:rFonts w:hint="eastAsia" w:ascii="宋体" w:hAnsi="宋体" w:eastAsia="宋体" w:cs="宋体"/>
          <w:sz w:val="21"/>
          <w:szCs w:val="21"/>
          <w:highlight w:val="yellow"/>
        </w:rPr>
        <w:t>．</w:t>
      </w:r>
      <w:r>
        <w:rPr>
          <w:rFonts w:hint="eastAsia" w:ascii="宋体" w:hAnsi="宋体" w:eastAsia="宋体" w:cs="宋体"/>
          <w:color w:val="000000"/>
          <w:sz w:val="21"/>
          <w:szCs w:val="21"/>
          <w:highlight w:val="yellow"/>
        </w:rPr>
        <w:t>其他责任约定：</w:t>
      </w:r>
      <w:r>
        <w:rPr>
          <w:rFonts w:hint="eastAsia" w:ascii="宋体" w:hAnsi="宋体" w:eastAsia="宋体" w:cs="宋体"/>
          <w:color w:val="000000"/>
          <w:sz w:val="21"/>
          <w:szCs w:val="21"/>
          <w:highlight w:val="yellow"/>
          <w:u w:val="single"/>
        </w:rPr>
        <w:t xml:space="preserve">        </w:t>
      </w:r>
      <w:r>
        <w:rPr>
          <w:rFonts w:hint="eastAsia" w:ascii="宋体" w:hAnsi="宋体" w:eastAsia="宋体" w:cs="宋体"/>
          <w:sz w:val="21"/>
          <w:szCs w:val="21"/>
          <w:highlight w:val="yellow"/>
          <w:u w:val="single"/>
          <w:lang w:val="en-US" w:eastAsia="zh-CN"/>
        </w:rPr>
        <w:t xml:space="preserve">                       </w:t>
      </w:r>
      <w:r>
        <w:rPr>
          <w:rFonts w:hint="eastAsia" w:ascii="宋体" w:hAnsi="宋体" w:eastAsia="宋体" w:cs="宋体"/>
          <w:color w:val="000000"/>
          <w:sz w:val="21"/>
          <w:szCs w:val="21"/>
          <w:highlight w:val="yellow"/>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00"/>
        <w:textAlignment w:val="auto"/>
        <w:rPr>
          <w:rFonts w:hint="eastAsia" w:ascii="宋体" w:hAnsi="宋体" w:eastAsia="宋体" w:cs="宋体"/>
          <w:b/>
          <w:sz w:val="21"/>
          <w:szCs w:val="21"/>
          <w:highlight w:val="yellow"/>
        </w:rPr>
      </w:pPr>
      <w:r>
        <w:rPr>
          <w:rFonts w:hint="eastAsia" w:ascii="宋体" w:hAnsi="宋体" w:eastAsia="宋体" w:cs="宋体"/>
          <w:b/>
          <w:sz w:val="21"/>
          <w:szCs w:val="21"/>
          <w:highlight w:val="yellow"/>
        </w:rPr>
        <w:t>六、养护费用</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00"/>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yellow"/>
        </w:rPr>
        <w:t>养护费用由承包人承担。</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jc w:val="left"/>
        <w:textAlignment w:val="auto"/>
        <w:rPr>
          <w:rFonts w:hint="eastAsia" w:ascii="宋体" w:hAnsi="宋体" w:eastAsia="宋体" w:cs="宋体"/>
          <w:sz w:val="21"/>
          <w:szCs w:val="21"/>
          <w:highlight w:val="yellow"/>
        </w:rPr>
      </w:pPr>
      <w:r>
        <w:rPr>
          <w:rFonts w:hint="eastAsia" w:ascii="宋体" w:hAnsi="宋体" w:eastAsia="宋体" w:cs="宋体"/>
          <w:b/>
          <w:sz w:val="21"/>
          <w:szCs w:val="21"/>
          <w:highlight w:val="yellow"/>
          <w:lang w:val="en-US" w:eastAsia="zh-CN"/>
        </w:rPr>
        <w:t xml:space="preserve">    </w:t>
      </w:r>
      <w:r>
        <w:rPr>
          <w:rFonts w:hint="eastAsia" w:ascii="宋体" w:hAnsi="宋体" w:eastAsia="宋体" w:cs="宋体"/>
          <w:b/>
          <w:sz w:val="21"/>
          <w:szCs w:val="21"/>
          <w:highlight w:val="yellow"/>
          <w:lang w:eastAsia="zh-CN"/>
        </w:rPr>
        <w:t>七、</w:t>
      </w:r>
      <w:r>
        <w:rPr>
          <w:rFonts w:hint="eastAsia" w:ascii="宋体" w:hAnsi="宋体" w:eastAsia="宋体" w:cs="宋体"/>
          <w:b/>
          <w:sz w:val="21"/>
          <w:szCs w:val="21"/>
          <w:highlight w:val="yellow"/>
        </w:rPr>
        <w:t>其他约定</w:t>
      </w:r>
      <w:r>
        <w:rPr>
          <w:rFonts w:hint="eastAsia" w:ascii="宋体" w:hAnsi="宋体" w:eastAsia="宋体" w:cs="宋体"/>
          <w:sz w:val="21"/>
          <w:szCs w:val="21"/>
          <w:highlight w:val="yellow"/>
        </w:rPr>
        <w:t>：</w:t>
      </w: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highlight w:val="yellow"/>
          <w:u w:val="single"/>
          <w:lang w:val="en-US" w:eastAsia="zh-CN"/>
        </w:rPr>
        <w:t xml:space="preserve">                               </w:t>
      </w:r>
      <w:r>
        <w:rPr>
          <w:rFonts w:hint="eastAsia" w:ascii="宋体" w:hAnsi="宋体" w:eastAsia="宋体" w:cs="宋体"/>
          <w:sz w:val="21"/>
          <w:szCs w:val="21"/>
          <w:highlight w:val="yellow"/>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00"/>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yellow"/>
        </w:rPr>
        <w:t>绿化养护责任书由发包人、承包人在工程竣工验收前共同签署，作为施工合同附件，其有效期限至绿化养护期满。</w:t>
      </w:r>
    </w:p>
    <w:p>
      <w:pPr>
        <w:snapToGrid w:val="0"/>
        <w:spacing w:line="360" w:lineRule="auto"/>
        <w:rPr>
          <w:rFonts w:hint="eastAsia" w:ascii="宋体" w:hAnsi="宋体" w:eastAsia="宋体" w:cs="宋体"/>
          <w:sz w:val="30"/>
          <w:szCs w:val="30"/>
          <w:highlight w:val="yellow"/>
        </w:rPr>
      </w:pPr>
    </w:p>
    <w:p>
      <w:pPr>
        <w:spacing w:line="360" w:lineRule="auto"/>
        <w:rPr>
          <w:rFonts w:hint="eastAsia" w:ascii="宋体" w:hAnsi="宋体" w:eastAsia="宋体" w:cs="宋体"/>
          <w:highlight w:val="yellow"/>
        </w:rPr>
      </w:pPr>
    </w:p>
    <w:p>
      <w:pPr>
        <w:rPr>
          <w:rFonts w:hint="eastAsia" w:ascii="宋体" w:hAnsi="宋体" w:eastAsia="宋体" w:cs="宋体"/>
          <w:sz w:val="30"/>
          <w:szCs w:val="30"/>
          <w:highlight w:val="yellow"/>
        </w:rPr>
      </w:pPr>
      <w:r>
        <w:rPr>
          <w:rFonts w:hint="eastAsia" w:ascii="宋体" w:hAnsi="宋体" w:eastAsia="宋体" w:cs="宋体"/>
          <w:sz w:val="30"/>
          <w:szCs w:val="30"/>
          <w:highlight w:val="yellow"/>
        </w:rPr>
        <mc:AlternateContent>
          <mc:Choice Requires="wps">
            <w:drawing>
              <wp:anchor distT="0" distB="0" distL="114300" distR="114300" simplePos="0" relativeHeight="251665408" behindDoc="0" locked="0" layoutInCell="1" allowOverlap="1">
                <wp:simplePos x="0" y="0"/>
                <wp:positionH relativeFrom="column">
                  <wp:posOffset>2559050</wp:posOffset>
                </wp:positionH>
                <wp:positionV relativeFrom="paragraph">
                  <wp:posOffset>205740</wp:posOffset>
                </wp:positionV>
                <wp:extent cx="2865755" cy="2667635"/>
                <wp:effectExtent l="0" t="0" r="10795" b="18415"/>
                <wp:wrapNone/>
                <wp:docPr id="13" name="文本框 9"/>
                <wp:cNvGraphicFramePr/>
                <a:graphic xmlns:a="http://schemas.openxmlformats.org/drawingml/2006/main">
                  <a:graphicData uri="http://schemas.microsoft.com/office/word/2010/wordprocessingShape">
                    <wps:wsp>
                      <wps:cNvSpPr txBox="1"/>
                      <wps:spPr>
                        <a:xfrm>
                          <a:off x="0" y="0"/>
                          <a:ext cx="2865755" cy="2667635"/>
                        </a:xfrm>
                        <a:prstGeom prst="rect">
                          <a:avLst/>
                        </a:prstGeom>
                        <a:solidFill>
                          <a:srgbClr val="FFFFFF"/>
                        </a:solidFill>
                        <a:ln>
                          <a:noFill/>
                        </a:ln>
                      </wps:spPr>
                      <wps:txbx>
                        <w:txbxContent>
                          <w:p>
                            <w:pPr>
                              <w:spacing w:line="360" w:lineRule="auto"/>
                              <w:ind w:firstLine="560"/>
                              <w:rPr>
                                <w:rFonts w:hint="eastAsia" w:ascii="宋体" w:hAnsi="宋体" w:eastAsia="宋体" w:cs="宋体"/>
                                <w:sz w:val="21"/>
                                <w:szCs w:val="21"/>
                                <w:lang w:eastAsia="zh-CN"/>
                              </w:rPr>
                            </w:pPr>
                            <w:r>
                              <w:rPr>
                                <w:rFonts w:hint="eastAsia" w:ascii="宋体" w:hAnsi="宋体" w:eastAsia="宋体" w:cs="宋体"/>
                                <w:sz w:val="21"/>
                                <w:szCs w:val="21"/>
                              </w:rPr>
                              <w:t>承包人：</w:t>
                            </w:r>
                            <w:r>
                              <w:rPr>
                                <w:rFonts w:hint="eastAsia" w:ascii="宋体" w:hAnsi="宋体" w:eastAsia="宋体" w:cs="宋体"/>
                                <w:sz w:val="21"/>
                                <w:szCs w:val="21"/>
                                <w:lang w:eastAsia="zh-CN"/>
                              </w:rPr>
                              <w:t>（</w:t>
                            </w:r>
                            <w:r>
                              <w:rPr>
                                <w:rFonts w:hint="eastAsia" w:ascii="宋体" w:hAnsi="宋体" w:eastAsia="宋体" w:cs="宋体"/>
                                <w:sz w:val="21"/>
                                <w:szCs w:val="21"/>
                              </w:rPr>
                              <w:t>公章</w:t>
                            </w:r>
                            <w:r>
                              <w:rPr>
                                <w:rFonts w:hint="eastAsia" w:ascii="宋体" w:hAnsi="宋体" w:eastAsia="宋体" w:cs="宋体"/>
                                <w:sz w:val="21"/>
                                <w:szCs w:val="21"/>
                                <w:lang w:eastAsia="zh-CN"/>
                              </w:rPr>
                              <w:t>）</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法定代表人或其委托代理人：（签字）</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日</w:t>
                            </w:r>
                          </w:p>
                        </w:txbxContent>
                      </wps:txbx>
                      <wps:bodyPr wrap="square" upright="1"/>
                    </wps:wsp>
                  </a:graphicData>
                </a:graphic>
              </wp:anchor>
            </w:drawing>
          </mc:Choice>
          <mc:Fallback>
            <w:pict>
              <v:shape id="文本框 9" o:spid="_x0000_s1026" o:spt="202" type="#_x0000_t202" style="position:absolute;left:0pt;margin-left:201.5pt;margin-top:16.2pt;height:210.05pt;width:225.65pt;z-index:251665408;mso-width-relative:page;mso-height-relative:page;" fillcolor="#FFFFFF" filled="t" stroked="f" coordsize="21600,21600" o:gfxdata="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WZ30Q2AAAAAoBAAAPAAAAAAAAAAEAIAAAACIAAABk&#10;cnMvZG93bnJldi54bWxQSwECFAAUAAAACACHTuJA4h6z1c0BAACHAwAADgAAAAAAAAABACAAAAAn&#10;AQAAZHJzL2Uyb0RvYy54bWxQSwUGAAAAAAYABgBZAQAAZgUAAAAA&#10;">
                <v:fill on="t" focussize="0,0"/>
                <v:stroke on="f"/>
                <v:imagedata o:title=""/>
                <o:lock v:ext="edit" aspectratio="f"/>
                <v:textbox>
                  <w:txbxContent>
                    <w:p>
                      <w:pPr>
                        <w:spacing w:line="360" w:lineRule="auto"/>
                        <w:ind w:firstLine="560"/>
                        <w:rPr>
                          <w:rFonts w:hint="eastAsia" w:ascii="宋体" w:hAnsi="宋体" w:eastAsia="宋体" w:cs="宋体"/>
                          <w:sz w:val="21"/>
                          <w:szCs w:val="21"/>
                          <w:lang w:eastAsia="zh-CN"/>
                        </w:rPr>
                      </w:pPr>
                      <w:r>
                        <w:rPr>
                          <w:rFonts w:hint="eastAsia" w:ascii="宋体" w:hAnsi="宋体" w:eastAsia="宋体" w:cs="宋体"/>
                          <w:sz w:val="21"/>
                          <w:szCs w:val="21"/>
                        </w:rPr>
                        <w:t>承包人：</w:t>
                      </w:r>
                      <w:r>
                        <w:rPr>
                          <w:rFonts w:hint="eastAsia" w:ascii="宋体" w:hAnsi="宋体" w:eastAsia="宋体" w:cs="宋体"/>
                          <w:sz w:val="21"/>
                          <w:szCs w:val="21"/>
                          <w:lang w:eastAsia="zh-CN"/>
                        </w:rPr>
                        <w:t>（</w:t>
                      </w:r>
                      <w:r>
                        <w:rPr>
                          <w:rFonts w:hint="eastAsia" w:ascii="宋体" w:hAnsi="宋体" w:eastAsia="宋体" w:cs="宋体"/>
                          <w:sz w:val="21"/>
                          <w:szCs w:val="21"/>
                        </w:rPr>
                        <w:t>公章</w:t>
                      </w:r>
                      <w:r>
                        <w:rPr>
                          <w:rFonts w:hint="eastAsia" w:ascii="宋体" w:hAnsi="宋体" w:eastAsia="宋体" w:cs="宋体"/>
                          <w:sz w:val="21"/>
                          <w:szCs w:val="21"/>
                          <w:lang w:eastAsia="zh-CN"/>
                        </w:rPr>
                        <w:t>）</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法定代表人或其委托代理人：（签字）</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日</w:t>
                      </w:r>
                    </w:p>
                  </w:txbxContent>
                </v:textbox>
              </v:shape>
            </w:pict>
          </mc:Fallback>
        </mc:AlternateContent>
      </w:r>
      <w:r>
        <w:rPr>
          <w:rFonts w:hint="eastAsia" w:ascii="宋体" w:hAnsi="宋体" w:eastAsia="宋体" w:cs="宋体"/>
          <w:sz w:val="30"/>
          <w:szCs w:val="30"/>
          <w:highlight w:val="yellow"/>
        </w:rPr>
        <mc:AlternateContent>
          <mc:Choice Requires="wps">
            <w:drawing>
              <wp:anchor distT="0" distB="0" distL="114300" distR="114300" simplePos="0" relativeHeight="251664384" behindDoc="0" locked="0" layoutInCell="1" allowOverlap="1">
                <wp:simplePos x="0" y="0"/>
                <wp:positionH relativeFrom="column">
                  <wp:posOffset>-287020</wp:posOffset>
                </wp:positionH>
                <wp:positionV relativeFrom="paragraph">
                  <wp:posOffset>201295</wp:posOffset>
                </wp:positionV>
                <wp:extent cx="2865755" cy="2677795"/>
                <wp:effectExtent l="0" t="0" r="10795" b="8255"/>
                <wp:wrapNone/>
                <wp:docPr id="14" name="文本框 10"/>
                <wp:cNvGraphicFramePr/>
                <a:graphic xmlns:a="http://schemas.openxmlformats.org/drawingml/2006/main">
                  <a:graphicData uri="http://schemas.microsoft.com/office/word/2010/wordprocessingShape">
                    <wps:wsp>
                      <wps:cNvSpPr txBox="1"/>
                      <wps:spPr>
                        <a:xfrm>
                          <a:off x="0" y="0"/>
                          <a:ext cx="2865755" cy="2677795"/>
                        </a:xfrm>
                        <a:prstGeom prst="rect">
                          <a:avLst/>
                        </a:prstGeom>
                        <a:solidFill>
                          <a:srgbClr val="FFFFFF"/>
                        </a:solidFill>
                        <a:ln>
                          <a:noFill/>
                        </a:ln>
                      </wps:spPr>
                      <wps:txbx>
                        <w:txbxContent>
                          <w:p>
                            <w:pPr>
                              <w:spacing w:line="360" w:lineRule="auto"/>
                              <w:ind w:firstLine="560"/>
                              <w:rPr>
                                <w:rFonts w:hint="eastAsia" w:ascii="宋体" w:hAnsi="宋体" w:eastAsia="宋体" w:cs="宋体"/>
                                <w:sz w:val="21"/>
                                <w:szCs w:val="21"/>
                                <w:lang w:eastAsia="zh-CN"/>
                              </w:rPr>
                            </w:pPr>
                            <w:r>
                              <w:rPr>
                                <w:rFonts w:hint="eastAsia" w:ascii="宋体" w:hAnsi="宋体" w:eastAsia="宋体" w:cs="宋体"/>
                                <w:sz w:val="21"/>
                                <w:szCs w:val="21"/>
                              </w:rPr>
                              <w:t>发包人：</w:t>
                            </w:r>
                            <w:r>
                              <w:rPr>
                                <w:rFonts w:hint="eastAsia" w:ascii="宋体" w:hAnsi="宋体" w:eastAsia="宋体" w:cs="宋体"/>
                                <w:sz w:val="21"/>
                                <w:szCs w:val="21"/>
                                <w:lang w:eastAsia="zh-CN"/>
                              </w:rPr>
                              <w:t>（</w:t>
                            </w:r>
                            <w:r>
                              <w:rPr>
                                <w:rFonts w:hint="eastAsia" w:ascii="宋体" w:hAnsi="宋体" w:eastAsia="宋体" w:cs="宋体"/>
                                <w:sz w:val="21"/>
                                <w:szCs w:val="21"/>
                              </w:rPr>
                              <w:t>公章</w:t>
                            </w:r>
                            <w:r>
                              <w:rPr>
                                <w:rFonts w:hint="eastAsia" w:ascii="宋体" w:hAnsi="宋体" w:eastAsia="宋体" w:cs="宋体"/>
                                <w:sz w:val="21"/>
                                <w:szCs w:val="21"/>
                                <w:lang w:eastAsia="zh-CN"/>
                              </w:rPr>
                              <w:t>）</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法定代表人或其委托代理人：（签字）</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ascii="仿宋_GB2312" w:eastAsia="仿宋_GB2312"/>
                                <w:sz w:val="28"/>
                                <w:szCs w:val="28"/>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日</w:t>
                            </w:r>
                          </w:p>
                        </w:txbxContent>
                      </wps:txbx>
                      <wps:bodyPr wrap="square" upright="1"/>
                    </wps:wsp>
                  </a:graphicData>
                </a:graphic>
              </wp:anchor>
            </w:drawing>
          </mc:Choice>
          <mc:Fallback>
            <w:pict>
              <v:shape id="文本框 10" o:spid="_x0000_s1026" o:spt="202" type="#_x0000_t202" style="position:absolute;left:0pt;margin-left:-22.6pt;margin-top:15.85pt;height:210.85pt;width:225.65pt;z-index:251664384;mso-width-relative:page;mso-height-relative:page;" fillcolor="#FFFFFF" filled="t" stroked="f" coordsize="21600,21600" o:gfxdata="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BTumu2QAAAAoBAAAPAAAAAAAAAAEAIAAAACIAAABk&#10;cnMvZG93bnJldi54bWxQSwECFAAUAAAACACHTuJAIw+wEswBAACIAwAADgAAAAAAAAABACAAAAAo&#10;AQAAZHJzL2Uyb0RvYy54bWxQSwUGAAAAAAYABgBZAQAAZgUAAAAA&#10;">
                <v:fill on="t" focussize="0,0"/>
                <v:stroke on="f"/>
                <v:imagedata o:title=""/>
                <o:lock v:ext="edit" aspectratio="f"/>
                <v:textbox>
                  <w:txbxContent>
                    <w:p>
                      <w:pPr>
                        <w:spacing w:line="360" w:lineRule="auto"/>
                        <w:ind w:firstLine="560"/>
                        <w:rPr>
                          <w:rFonts w:hint="eastAsia" w:ascii="宋体" w:hAnsi="宋体" w:eastAsia="宋体" w:cs="宋体"/>
                          <w:sz w:val="21"/>
                          <w:szCs w:val="21"/>
                          <w:lang w:eastAsia="zh-CN"/>
                        </w:rPr>
                      </w:pPr>
                      <w:r>
                        <w:rPr>
                          <w:rFonts w:hint="eastAsia" w:ascii="宋体" w:hAnsi="宋体" w:eastAsia="宋体" w:cs="宋体"/>
                          <w:sz w:val="21"/>
                          <w:szCs w:val="21"/>
                        </w:rPr>
                        <w:t>发包人：</w:t>
                      </w:r>
                      <w:r>
                        <w:rPr>
                          <w:rFonts w:hint="eastAsia" w:ascii="宋体" w:hAnsi="宋体" w:eastAsia="宋体" w:cs="宋体"/>
                          <w:sz w:val="21"/>
                          <w:szCs w:val="21"/>
                          <w:lang w:eastAsia="zh-CN"/>
                        </w:rPr>
                        <w:t>（</w:t>
                      </w:r>
                      <w:r>
                        <w:rPr>
                          <w:rFonts w:hint="eastAsia" w:ascii="宋体" w:hAnsi="宋体" w:eastAsia="宋体" w:cs="宋体"/>
                          <w:sz w:val="21"/>
                          <w:szCs w:val="21"/>
                        </w:rPr>
                        <w:t>公章</w:t>
                      </w:r>
                      <w:r>
                        <w:rPr>
                          <w:rFonts w:hint="eastAsia" w:ascii="宋体" w:hAnsi="宋体" w:eastAsia="宋体" w:cs="宋体"/>
                          <w:sz w:val="21"/>
                          <w:szCs w:val="21"/>
                          <w:lang w:eastAsia="zh-CN"/>
                        </w:rPr>
                        <w:t>）</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法定代表人或其委托代理人：（签字）</w:t>
                      </w:r>
                      <w:r>
                        <w:rPr>
                          <w:rFonts w:hint="eastAsia" w:ascii="宋体" w:hAnsi="宋体" w:eastAsia="宋体" w:cs="宋体"/>
                          <w:sz w:val="21"/>
                          <w:szCs w:val="21"/>
                          <w:u w:val="single"/>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560"/>
                        <w:rPr>
                          <w:rFonts w:ascii="仿宋_GB2312" w:eastAsia="仿宋_GB2312"/>
                          <w:sz w:val="28"/>
                          <w:szCs w:val="28"/>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日</w:t>
                      </w:r>
                    </w:p>
                  </w:txbxContent>
                </v:textbox>
              </v:shape>
            </w:pict>
          </mc:Fallback>
        </mc:AlternateContent>
      </w:r>
    </w:p>
    <w:p>
      <w:pPr>
        <w:rPr>
          <w:rFonts w:hint="eastAsia" w:ascii="宋体" w:hAnsi="宋体" w:eastAsia="宋体" w:cs="宋体"/>
          <w:sz w:val="30"/>
          <w:szCs w:val="30"/>
          <w:highlight w:val="yellow"/>
        </w:rPr>
      </w:pPr>
    </w:p>
    <w:p>
      <w:pPr>
        <w:rPr>
          <w:rFonts w:hint="eastAsia" w:ascii="宋体" w:hAnsi="宋体" w:eastAsia="宋体" w:cs="宋体"/>
          <w:sz w:val="30"/>
          <w:szCs w:val="30"/>
          <w:highlight w:val="yellow"/>
        </w:rPr>
      </w:pPr>
    </w:p>
    <w:p>
      <w:pPr>
        <w:rPr>
          <w:rFonts w:hint="eastAsia" w:ascii="宋体" w:hAnsi="宋体" w:eastAsia="宋体" w:cs="宋体"/>
          <w:sz w:val="30"/>
          <w:szCs w:val="30"/>
          <w:highlight w:val="yellow"/>
        </w:rPr>
      </w:pPr>
    </w:p>
    <w:p>
      <w:pPr>
        <w:keepNext/>
        <w:keepLines/>
        <w:pageBreakBefore w:val="0"/>
        <w:widowControl w:val="0"/>
        <w:shd w:val="clear" w:fill="auto"/>
        <w:kinsoku/>
        <w:wordWrap/>
        <w:overflowPunct/>
        <w:topLinePunct w:val="0"/>
        <w:autoSpaceDE/>
        <w:autoSpaceDN/>
        <w:bidi w:val="0"/>
        <w:adjustRightInd/>
        <w:snapToGrid/>
        <w:spacing w:before="140" w:after="140" w:line="360" w:lineRule="auto"/>
        <w:jc w:val="center"/>
        <w:textAlignment w:val="auto"/>
        <w:outlineLvl w:val="0"/>
        <w:rPr>
          <w:rFonts w:hint="eastAsia" w:ascii="宋体" w:hAnsi="宋体" w:eastAsia="宋体" w:cs="Times New Roman"/>
          <w:b/>
          <w:bCs/>
          <w:color w:val="000000"/>
          <w:kern w:val="44"/>
          <w:sz w:val="32"/>
          <w:szCs w:val="32"/>
          <w:highlight w:val="yellow"/>
          <w:lang w:val="en-US" w:eastAsia="zh-CN" w:bidi="ar-SA"/>
        </w:rPr>
      </w:pPr>
      <w:bookmarkStart w:id="838" w:name="_Toc19166"/>
      <w:bookmarkStart w:id="839" w:name="_Toc32112"/>
      <w:r>
        <w:rPr>
          <w:rFonts w:hint="eastAsia" w:ascii="宋体" w:hAnsi="宋体" w:eastAsia="宋体" w:cs="Times New Roman"/>
          <w:b/>
          <w:bCs/>
          <w:color w:val="000000"/>
          <w:kern w:val="44"/>
          <w:sz w:val="32"/>
          <w:szCs w:val="32"/>
          <w:highlight w:val="yellow"/>
          <w:lang w:val="en-US" w:eastAsia="zh-CN" w:bidi="ar-SA"/>
        </w:rPr>
        <w:t>第六章 工程量清单</w:t>
      </w:r>
      <w:bookmarkEnd w:id="836"/>
      <w:bookmarkEnd w:id="837"/>
      <w:bookmarkEnd w:id="838"/>
      <w:bookmarkEnd w:id="839"/>
    </w:p>
    <w:p>
      <w:pPr>
        <w:numPr>
          <w:ilvl w:val="0"/>
          <w:numId w:val="0"/>
        </w:numPr>
        <w:shd w:val="clear" w:fill="auto"/>
        <w:spacing w:line="360" w:lineRule="auto"/>
        <w:jc w:val="center"/>
        <w:outlineLvl w:val="9"/>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（另附）</w:t>
      </w:r>
      <w:bookmarkStart w:id="840" w:name="_Toc331006994"/>
    </w:p>
    <w:p>
      <w:pPr>
        <w:shd w:val="clear" w:fill="auto"/>
        <w:jc w:val="center"/>
        <w:outlineLvl w:val="9"/>
        <w:rPr>
          <w:rFonts w:hint="eastAsia" w:ascii="宋体" w:hAnsi="宋体"/>
          <w:color w:val="000000"/>
          <w:highlight w:val="none"/>
        </w:rPr>
      </w:pPr>
    </w:p>
    <w:p>
      <w:pPr>
        <w:shd w:val="clear" w:fill="auto"/>
        <w:jc w:val="center"/>
        <w:outlineLvl w:val="9"/>
        <w:rPr>
          <w:rFonts w:hint="eastAsia" w:hAnsi="宋体"/>
          <w:b w:val="0"/>
          <w:bCs w:val="0"/>
          <w:color w:val="000000"/>
          <w:kern w:val="2"/>
          <w:sz w:val="21"/>
          <w:szCs w:val="21"/>
          <w:highlight w:val="none"/>
          <w:lang w:val="en-US" w:eastAsia="zh-CN" w:bidi="ar-SA"/>
        </w:rPr>
      </w:pPr>
    </w:p>
    <w:p>
      <w:pPr>
        <w:keepNext/>
        <w:keepLines/>
        <w:pageBreakBefore w:val="0"/>
        <w:widowControl w:val="0"/>
        <w:shd w:val="clear" w:fill="auto"/>
        <w:kinsoku/>
        <w:wordWrap/>
        <w:overflowPunct/>
        <w:topLinePunct w:val="0"/>
        <w:autoSpaceDE/>
        <w:autoSpaceDN/>
        <w:bidi w:val="0"/>
        <w:adjustRightInd/>
        <w:snapToGrid/>
        <w:spacing w:before="140" w:after="140" w:line="360" w:lineRule="auto"/>
        <w:jc w:val="center"/>
        <w:textAlignment w:val="auto"/>
        <w:outlineLvl w:val="0"/>
        <w:rPr>
          <w:rFonts w:hint="eastAsia" w:ascii="宋体" w:hAnsi="宋体" w:eastAsia="宋体" w:cs="Times New Roman"/>
          <w:b/>
          <w:bCs/>
          <w:color w:val="000000"/>
          <w:kern w:val="44"/>
          <w:sz w:val="32"/>
          <w:szCs w:val="32"/>
          <w:highlight w:val="none"/>
          <w:lang w:val="en-US" w:eastAsia="zh-CN" w:bidi="ar-SA"/>
        </w:rPr>
      </w:pPr>
      <w:r>
        <w:rPr>
          <w:rFonts w:hint="eastAsia" w:ascii="宋体" w:hAnsi="宋体"/>
          <w:color w:val="000000"/>
          <w:sz w:val="10"/>
          <w:szCs w:val="10"/>
          <w:highlight w:val="none"/>
        </w:rPr>
        <w:br w:type="page"/>
      </w:r>
      <w:bookmarkStart w:id="841" w:name="_Toc12826"/>
      <w:bookmarkStart w:id="842" w:name="_Toc10322"/>
      <w:bookmarkStart w:id="843" w:name="_Toc22537"/>
      <w:bookmarkStart w:id="844" w:name="_Toc2284"/>
      <w:r>
        <w:rPr>
          <w:rFonts w:hint="eastAsia" w:ascii="宋体" w:hAnsi="宋体" w:eastAsia="宋体" w:cs="Times New Roman"/>
          <w:b/>
          <w:bCs/>
          <w:color w:val="000000"/>
          <w:kern w:val="44"/>
          <w:sz w:val="32"/>
          <w:szCs w:val="32"/>
          <w:highlight w:val="none"/>
          <w:lang w:val="en-US" w:eastAsia="zh-CN" w:bidi="ar-SA"/>
        </w:rPr>
        <w:t>第七章 图 纸</w:t>
      </w:r>
      <w:bookmarkEnd w:id="840"/>
      <w:bookmarkEnd w:id="841"/>
      <w:bookmarkEnd w:id="842"/>
      <w:bookmarkEnd w:id="843"/>
      <w:bookmarkEnd w:id="844"/>
      <w:bookmarkStart w:id="845" w:name="_Toc331006995"/>
    </w:p>
    <w:p>
      <w:pPr>
        <w:numPr>
          <w:ilvl w:val="0"/>
          <w:numId w:val="0"/>
        </w:numPr>
        <w:shd w:val="clear" w:fill="auto"/>
        <w:spacing w:line="360" w:lineRule="auto"/>
        <w:jc w:val="center"/>
        <w:outlineLvl w:val="9"/>
        <w:rPr>
          <w:rFonts w:hint="eastAsia" w:ascii="宋体" w:hAnsi="宋体" w:eastAsia="宋体" w:cs="宋体"/>
          <w:b/>
          <w:bCs/>
          <w:color w:val="000000"/>
          <w:sz w:val="28"/>
          <w:szCs w:val="28"/>
          <w:highlight w:val="none"/>
          <w:lang w:val="en-US" w:eastAsia="zh-CN"/>
        </w:rPr>
      </w:pPr>
      <w:r>
        <w:rPr>
          <w:rFonts w:hint="eastAsia" w:ascii="宋体" w:hAnsi="宋体" w:cs="宋体"/>
          <w:b/>
          <w:bCs/>
          <w:color w:val="000000"/>
          <w:sz w:val="28"/>
          <w:szCs w:val="28"/>
          <w:highlight w:val="none"/>
          <w:lang w:val="en-US" w:eastAsia="zh-CN"/>
        </w:rPr>
        <w:t>（另附）</w:t>
      </w: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p>
      <w:pPr>
        <w:pStyle w:val="43"/>
        <w:shd w:val="clear" w:fill="auto"/>
        <w:outlineLvl w:val="9"/>
        <w:rPr>
          <w:rFonts w:hint="eastAsia"/>
          <w:color w:val="000000"/>
          <w:highlight w:val="none"/>
          <w:lang w:val="en-US" w:eastAsia="zh-CN"/>
        </w:rPr>
      </w:pPr>
    </w:p>
    <w:p>
      <w:pPr>
        <w:numPr>
          <w:ilvl w:val="0"/>
          <w:numId w:val="0"/>
        </w:numPr>
        <w:shd w:val="clear" w:fill="auto"/>
        <w:jc w:val="both"/>
        <w:outlineLvl w:val="9"/>
        <w:rPr>
          <w:rFonts w:hint="eastAsia" w:ascii="宋体" w:hAnsi="宋体" w:eastAsia="宋体" w:cs="宋体"/>
          <w:color w:val="000000"/>
          <w:sz w:val="21"/>
          <w:szCs w:val="21"/>
          <w:highlight w:val="none"/>
          <w:lang w:val="en-US" w:eastAsia="zh-CN"/>
        </w:rPr>
      </w:pPr>
    </w:p>
    <w:bookmarkEnd w:id="845"/>
    <w:p>
      <w:pPr>
        <w:shd w:val="clear" w:fill="auto"/>
        <w:outlineLvl w:val="9"/>
        <w:rPr>
          <w:rFonts w:hint="eastAsia"/>
          <w:sz w:val="32"/>
          <w:szCs w:val="32"/>
          <w:highlight w:val="none"/>
          <w:lang w:eastAsia="zh-CN"/>
        </w:rPr>
      </w:pPr>
      <w:bookmarkStart w:id="846" w:name="_Toc331006996"/>
      <w:r>
        <w:rPr>
          <w:rFonts w:hint="eastAsia"/>
          <w:sz w:val="32"/>
          <w:szCs w:val="32"/>
          <w:highlight w:val="none"/>
          <w:lang w:eastAsia="zh-CN"/>
        </w:rPr>
        <w:br w:type="page"/>
      </w:r>
    </w:p>
    <w:p>
      <w:pPr>
        <w:pStyle w:val="2"/>
        <w:numPr>
          <w:ilvl w:val="0"/>
          <w:numId w:val="0"/>
        </w:numPr>
        <w:shd w:val="clear" w:fill="auto"/>
        <w:jc w:val="center"/>
        <w:rPr>
          <w:rFonts w:hint="eastAsia"/>
          <w:sz w:val="32"/>
          <w:szCs w:val="32"/>
          <w:highlight w:val="none"/>
        </w:rPr>
      </w:pPr>
      <w:bookmarkStart w:id="847" w:name="_Toc25390"/>
      <w:bookmarkStart w:id="848" w:name="_Toc19405"/>
      <w:bookmarkStart w:id="849" w:name="_Toc28559"/>
      <w:bookmarkStart w:id="850" w:name="_Toc30226"/>
      <w:r>
        <w:rPr>
          <w:rFonts w:hint="eastAsia"/>
          <w:sz w:val="32"/>
          <w:szCs w:val="32"/>
          <w:highlight w:val="none"/>
          <w:lang w:eastAsia="zh-CN"/>
        </w:rPr>
        <w:t>第八章</w:t>
      </w:r>
      <w:r>
        <w:rPr>
          <w:rFonts w:hint="eastAsia"/>
          <w:sz w:val="32"/>
          <w:szCs w:val="32"/>
          <w:highlight w:val="none"/>
          <w:lang w:val="en-US" w:eastAsia="zh-CN"/>
        </w:rPr>
        <w:t xml:space="preserve"> </w:t>
      </w:r>
      <w:r>
        <w:rPr>
          <w:rFonts w:hint="eastAsia"/>
          <w:sz w:val="32"/>
          <w:szCs w:val="32"/>
          <w:highlight w:val="none"/>
        </w:rPr>
        <w:t>技术标准</w:t>
      </w:r>
      <w:r>
        <w:rPr>
          <w:rFonts w:hint="eastAsia"/>
          <w:sz w:val="32"/>
          <w:szCs w:val="32"/>
          <w:highlight w:val="none"/>
          <w:lang w:eastAsia="zh-CN"/>
        </w:rPr>
        <w:t>和</w:t>
      </w:r>
      <w:r>
        <w:rPr>
          <w:rFonts w:hint="eastAsia"/>
          <w:sz w:val="32"/>
          <w:szCs w:val="32"/>
          <w:highlight w:val="none"/>
        </w:rPr>
        <w:t>要求</w:t>
      </w:r>
      <w:bookmarkEnd w:id="847"/>
      <w:bookmarkEnd w:id="848"/>
      <w:bookmarkEnd w:id="849"/>
      <w:bookmarkEnd w:id="850"/>
    </w:p>
    <w:p>
      <w:pPr>
        <w:keepNext w:val="0"/>
        <w:keepLines w:val="0"/>
        <w:pageBreakBefore w:val="0"/>
        <w:widowControl w:val="0"/>
        <w:shd w:val="clear"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一、一般规定</w:t>
      </w:r>
    </w:p>
    <w:p>
      <w:pPr>
        <w:keepNext w:val="0"/>
        <w:keepLines w:val="0"/>
        <w:pageBreakBefore w:val="0"/>
        <w:widowControl w:val="0"/>
        <w:shd w:val="clear"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除非合同文件中另有特别注明，本工程适用中华人民共和国现行有效的国家规范、规程和标准。设计图纸和其他设计文件中的有关文字说明是本工程技术规范的组成。对于涉及新技术、新工艺和新材料的工作，相应厂家使用说明或操作说明等的内容，或适用的国外同类标准的内容也是本工程技术规范的组成部分。</w:t>
      </w:r>
    </w:p>
    <w:p>
      <w:pPr>
        <w:keepNext w:val="0"/>
        <w:keepLines w:val="0"/>
        <w:pageBreakBefore w:val="0"/>
        <w:widowControl w:val="0"/>
        <w:shd w:val="clear"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合同中约定的任何投标人应予遵照执行的国家规范、规程和标准都指他们各自的最新版本。如果在构成本工程规范和技术说明的任何内容与任何现行国家规范、规程和标准包括他们适用的修改之间出现相互矛盾之处或不一致的指示，投标人应按照其中要求最严格的标准执行。材料、施工工艺和本工程都应依照本工程规范和技术说明以及相关国家规范、规程和标准的最新版本；或把最新版本的要求当作对投标人工作的最起码要求，而执行更高的标准。</w:t>
      </w:r>
    </w:p>
    <w:p>
      <w:pPr>
        <w:keepNext w:val="0"/>
        <w:keepLines w:val="0"/>
        <w:pageBreakBefore w:val="0"/>
        <w:widowControl w:val="0"/>
        <w:shd w:val="clear"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未尽项均执行现行规范及标准,以上规范如有变化，以最新发布的为准。</w:t>
      </w:r>
    </w:p>
    <w:p>
      <w:pPr>
        <w:shd w:val="clear" w:fill="auto"/>
        <w:rPr>
          <w:rFonts w:hint="eastAsia"/>
          <w:highlight w:val="none"/>
        </w:rPr>
      </w:pPr>
    </w:p>
    <w:p>
      <w:pPr>
        <w:shd w:val="clear" w:fill="auto"/>
        <w:rPr>
          <w:rFonts w:hint="eastAsia"/>
          <w:sz w:val="32"/>
          <w:szCs w:val="32"/>
          <w:highlight w:val="none"/>
        </w:rPr>
      </w:pPr>
      <w:r>
        <w:rPr>
          <w:rFonts w:hint="eastAsia"/>
          <w:sz w:val="32"/>
          <w:szCs w:val="32"/>
          <w:highlight w:val="none"/>
        </w:rPr>
        <w:br w:type="page"/>
      </w:r>
    </w:p>
    <w:p>
      <w:pPr>
        <w:pStyle w:val="2"/>
        <w:shd w:val="clear" w:fill="auto"/>
        <w:bidi w:val="0"/>
        <w:spacing w:line="360" w:lineRule="auto"/>
        <w:jc w:val="center"/>
        <w:rPr>
          <w:rFonts w:hint="eastAsia"/>
          <w:sz w:val="32"/>
          <w:szCs w:val="32"/>
          <w:highlight w:val="none"/>
        </w:rPr>
      </w:pPr>
      <w:bookmarkStart w:id="851" w:name="_Toc15936"/>
      <w:bookmarkStart w:id="852" w:name="_Toc3033"/>
      <w:bookmarkStart w:id="853" w:name="_Toc15867"/>
      <w:bookmarkStart w:id="854" w:name="_Toc11264"/>
      <w:r>
        <w:rPr>
          <w:rFonts w:hint="eastAsia"/>
          <w:sz w:val="32"/>
          <w:szCs w:val="32"/>
          <w:highlight w:val="none"/>
        </w:rPr>
        <w:t>第</w:t>
      </w:r>
      <w:r>
        <w:rPr>
          <w:rFonts w:hint="eastAsia"/>
          <w:sz w:val="32"/>
          <w:szCs w:val="32"/>
          <w:highlight w:val="none"/>
          <w:lang w:eastAsia="zh-CN"/>
        </w:rPr>
        <w:t>九</w:t>
      </w:r>
      <w:r>
        <w:rPr>
          <w:rFonts w:hint="eastAsia"/>
          <w:sz w:val="32"/>
          <w:szCs w:val="32"/>
          <w:highlight w:val="none"/>
        </w:rPr>
        <w:t>章 投标文件格式</w:t>
      </w:r>
      <w:bookmarkEnd w:id="846"/>
      <w:bookmarkEnd w:id="851"/>
      <w:bookmarkEnd w:id="852"/>
      <w:bookmarkEnd w:id="853"/>
      <w:bookmarkEnd w:id="854"/>
    </w:p>
    <w:p>
      <w:pPr>
        <w:shd w:val="clear" w:fill="auto"/>
        <w:rPr>
          <w:rFonts w:hint="eastAsia"/>
          <w:color w:val="000000"/>
          <w:highlight w:val="none"/>
        </w:rPr>
      </w:pPr>
    </w:p>
    <w:p>
      <w:pPr>
        <w:shd w:val="clear" w:fill="auto"/>
        <w:rPr>
          <w:rFonts w:hint="eastAsia"/>
          <w:color w:val="000000"/>
          <w:highlight w:val="none"/>
        </w:rPr>
      </w:pPr>
    </w:p>
    <w:p>
      <w:pPr>
        <w:shd w:val="clear" w:fill="auto"/>
        <w:rPr>
          <w:rFonts w:hint="eastAsia"/>
          <w:color w:val="000000"/>
          <w:highlight w:val="none"/>
        </w:rPr>
      </w:pPr>
    </w:p>
    <w:p>
      <w:pPr>
        <w:shd w:val="clear" w:fill="auto"/>
        <w:autoSpaceDE w:val="0"/>
        <w:autoSpaceDN w:val="0"/>
        <w:adjustRightInd w:val="0"/>
        <w:jc w:val="center"/>
        <w:rPr>
          <w:rFonts w:ascii="宋体" w:hAnsi="宋体"/>
          <w:color w:val="000000"/>
          <w:kern w:val="0"/>
          <w:sz w:val="44"/>
          <w:highlight w:val="none"/>
        </w:rPr>
      </w:pPr>
      <w:r>
        <w:rPr>
          <w:rFonts w:hint="eastAsia" w:ascii="宋体" w:hAnsi="宋体"/>
          <w:b/>
          <w:color w:val="000000"/>
          <w:kern w:val="0"/>
          <w:sz w:val="36"/>
          <w:highlight w:val="none"/>
          <w:u w:val="single"/>
        </w:rPr>
        <w:t xml:space="preserve">                      （项目名称）</w:t>
      </w:r>
    </w:p>
    <w:p>
      <w:pPr>
        <w:shd w:val="clear" w:fill="auto"/>
        <w:autoSpaceDE w:val="0"/>
        <w:autoSpaceDN w:val="0"/>
        <w:adjustRightInd w:val="0"/>
        <w:jc w:val="center"/>
        <w:rPr>
          <w:rFonts w:hint="eastAsia" w:ascii="宋体" w:hAnsi="宋体"/>
          <w:b/>
          <w:color w:val="000000"/>
          <w:kern w:val="0"/>
          <w:sz w:val="30"/>
          <w:szCs w:val="30"/>
          <w:highlight w:val="none"/>
        </w:rPr>
      </w:pPr>
    </w:p>
    <w:p>
      <w:pPr>
        <w:shd w:val="clear" w:fill="auto"/>
        <w:autoSpaceDE w:val="0"/>
        <w:autoSpaceDN w:val="0"/>
        <w:adjustRightInd w:val="0"/>
        <w:jc w:val="center"/>
        <w:rPr>
          <w:rFonts w:hint="eastAsia" w:ascii="宋体" w:hAnsi="宋体"/>
          <w:b/>
          <w:color w:val="000000"/>
          <w:kern w:val="0"/>
          <w:sz w:val="30"/>
          <w:szCs w:val="30"/>
          <w:highlight w:val="none"/>
        </w:rPr>
      </w:pPr>
    </w:p>
    <w:p>
      <w:pPr>
        <w:shd w:val="clear" w:fill="auto"/>
        <w:autoSpaceDE w:val="0"/>
        <w:autoSpaceDN w:val="0"/>
        <w:adjustRightInd w:val="0"/>
        <w:jc w:val="center"/>
        <w:rPr>
          <w:rFonts w:hint="eastAsia" w:ascii="宋体" w:hAnsi="宋体"/>
          <w:b/>
          <w:color w:val="000000"/>
          <w:kern w:val="0"/>
          <w:sz w:val="30"/>
          <w:szCs w:val="30"/>
          <w:highlight w:val="none"/>
        </w:rPr>
      </w:pPr>
    </w:p>
    <w:p>
      <w:pPr>
        <w:shd w:val="clear" w:fill="auto"/>
        <w:autoSpaceDE w:val="0"/>
        <w:autoSpaceDN w:val="0"/>
        <w:adjustRightInd w:val="0"/>
        <w:jc w:val="center"/>
        <w:rPr>
          <w:rFonts w:hint="eastAsia" w:ascii="宋体" w:hAnsi="宋体"/>
          <w:b/>
          <w:color w:val="000000"/>
          <w:kern w:val="0"/>
          <w:sz w:val="52"/>
          <w:highlight w:val="none"/>
        </w:rPr>
      </w:pPr>
      <w:r>
        <w:rPr>
          <w:rFonts w:hint="eastAsia" w:ascii="宋体" w:hAnsi="宋体"/>
          <w:b/>
          <w:color w:val="000000"/>
          <w:kern w:val="0"/>
          <w:sz w:val="52"/>
          <w:highlight w:val="none"/>
        </w:rPr>
        <w:t>投   标   文   件</w:t>
      </w:r>
    </w:p>
    <w:p>
      <w:pPr>
        <w:shd w:val="clear" w:fill="auto"/>
        <w:autoSpaceDE w:val="0"/>
        <w:autoSpaceDN w:val="0"/>
        <w:adjustRightInd w:val="0"/>
        <w:jc w:val="center"/>
        <w:rPr>
          <w:rFonts w:ascii="宋体" w:hAnsi="宋体"/>
          <w:color w:val="000000"/>
          <w:kern w:val="0"/>
          <w:sz w:val="24"/>
          <w:highlight w:val="none"/>
        </w:rPr>
      </w:pPr>
    </w:p>
    <w:p>
      <w:pPr>
        <w:shd w:val="clear" w:fill="auto"/>
        <w:autoSpaceDE w:val="0"/>
        <w:autoSpaceDN w:val="0"/>
        <w:adjustRightInd w:val="0"/>
        <w:ind w:firstLine="2160" w:firstLineChars="900"/>
        <w:jc w:val="both"/>
        <w:rPr>
          <w:rFonts w:hint="eastAsia" w:ascii="宋体" w:hAnsi="宋体"/>
          <w:b w:val="0"/>
          <w:bCs w:val="0"/>
          <w:color w:val="000000"/>
          <w:kern w:val="0"/>
          <w:sz w:val="24"/>
          <w:highlight w:val="none"/>
          <w:lang w:val="en-US" w:eastAsia="zh-CN"/>
        </w:rPr>
      </w:pPr>
    </w:p>
    <w:p>
      <w:pPr>
        <w:shd w:val="clear" w:fill="auto"/>
        <w:autoSpaceDE w:val="0"/>
        <w:autoSpaceDN w:val="0"/>
        <w:adjustRightInd w:val="0"/>
        <w:jc w:val="center"/>
        <w:rPr>
          <w:rFonts w:hint="eastAsia" w:ascii="宋体" w:hAnsi="宋体"/>
          <w:color w:val="000000"/>
          <w:kern w:val="0"/>
          <w:sz w:val="44"/>
          <w:highlight w:val="none"/>
        </w:rPr>
      </w:pPr>
    </w:p>
    <w:p>
      <w:pPr>
        <w:shd w:val="clear" w:fill="auto"/>
        <w:autoSpaceDE w:val="0"/>
        <w:autoSpaceDN w:val="0"/>
        <w:adjustRightInd w:val="0"/>
        <w:jc w:val="center"/>
        <w:rPr>
          <w:rFonts w:hint="eastAsia" w:ascii="宋体" w:hAnsi="宋体"/>
          <w:color w:val="000000"/>
          <w:kern w:val="0"/>
          <w:sz w:val="44"/>
          <w:highlight w:val="none"/>
        </w:rPr>
      </w:pPr>
    </w:p>
    <w:p>
      <w:pPr>
        <w:shd w:val="clear" w:fill="auto"/>
        <w:autoSpaceDE w:val="0"/>
        <w:autoSpaceDN w:val="0"/>
        <w:adjustRightInd w:val="0"/>
        <w:jc w:val="center"/>
        <w:rPr>
          <w:rFonts w:hint="eastAsia" w:ascii="宋体" w:hAnsi="宋体"/>
          <w:color w:val="000000"/>
          <w:kern w:val="0"/>
          <w:sz w:val="44"/>
          <w:highlight w:val="none"/>
        </w:rPr>
      </w:pPr>
    </w:p>
    <w:p>
      <w:pPr>
        <w:pStyle w:val="15"/>
        <w:shd w:val="clear" w:fill="auto"/>
        <w:rPr>
          <w:rFonts w:hint="eastAsia"/>
          <w:highlight w:val="none"/>
        </w:rPr>
      </w:pPr>
    </w:p>
    <w:p>
      <w:pPr>
        <w:shd w:val="clear" w:fill="auto"/>
        <w:autoSpaceDE w:val="0"/>
        <w:autoSpaceDN w:val="0"/>
        <w:adjustRightInd w:val="0"/>
        <w:jc w:val="center"/>
        <w:rPr>
          <w:rFonts w:hint="eastAsia" w:ascii="宋体" w:hAnsi="宋体"/>
          <w:color w:val="000000"/>
          <w:kern w:val="0"/>
          <w:sz w:val="44"/>
          <w:highlight w:val="none"/>
        </w:rPr>
      </w:pPr>
    </w:p>
    <w:p>
      <w:pPr>
        <w:shd w:val="clear" w:fill="auto"/>
        <w:autoSpaceDE w:val="0"/>
        <w:autoSpaceDN w:val="0"/>
        <w:adjustRightInd w:val="0"/>
        <w:rPr>
          <w:rFonts w:ascii="宋体" w:hAnsi="宋体"/>
          <w:color w:val="000000"/>
          <w:kern w:val="0"/>
          <w:sz w:val="44"/>
          <w:highlight w:val="none"/>
        </w:rPr>
      </w:pPr>
    </w:p>
    <w:p>
      <w:pPr>
        <w:shd w:val="clear" w:fill="auto"/>
        <w:autoSpaceDE w:val="0"/>
        <w:autoSpaceDN w:val="0"/>
        <w:adjustRightInd w:val="0"/>
        <w:rPr>
          <w:rFonts w:ascii="宋体" w:hAnsi="宋体"/>
          <w:color w:val="000000"/>
          <w:kern w:val="0"/>
          <w:sz w:val="44"/>
          <w:highlight w:val="none"/>
        </w:rPr>
      </w:pPr>
    </w:p>
    <w:p>
      <w:pPr>
        <w:shd w:val="clear" w:fill="auto"/>
        <w:autoSpaceDE w:val="0"/>
        <w:autoSpaceDN w:val="0"/>
        <w:adjustRightInd w:val="0"/>
        <w:spacing w:line="480" w:lineRule="auto"/>
        <w:ind w:leftChars="500"/>
        <w:jc w:val="both"/>
        <w:rPr>
          <w:rFonts w:ascii="宋体" w:hAnsi="宋体"/>
          <w:b/>
          <w:color w:val="000000"/>
          <w:kern w:val="0"/>
          <w:sz w:val="24"/>
          <w:szCs w:val="22"/>
          <w:highlight w:val="none"/>
        </w:rPr>
      </w:pPr>
      <w:r>
        <w:rPr>
          <w:rFonts w:hint="eastAsia" w:ascii="宋体" w:hAnsi="宋体"/>
          <w:b/>
          <w:color w:val="000000"/>
          <w:kern w:val="0"/>
          <w:sz w:val="24"/>
          <w:szCs w:val="22"/>
          <w:highlight w:val="none"/>
        </w:rPr>
        <w:t>投标人：</w:t>
      </w:r>
      <w:r>
        <w:rPr>
          <w:rFonts w:hint="eastAsia" w:ascii="宋体" w:hAnsi="宋体"/>
          <w:b/>
          <w:color w:val="000000"/>
          <w:kern w:val="0"/>
          <w:sz w:val="24"/>
          <w:szCs w:val="22"/>
          <w:highlight w:val="none"/>
          <w:u w:val="single"/>
        </w:rPr>
        <w:t xml:space="preserve">                          </w:t>
      </w:r>
      <w:r>
        <w:rPr>
          <w:rFonts w:hint="eastAsia" w:ascii="宋体" w:hAnsi="宋体"/>
          <w:b/>
          <w:color w:val="000000"/>
          <w:kern w:val="0"/>
          <w:sz w:val="24"/>
          <w:szCs w:val="22"/>
          <w:highlight w:val="none"/>
        </w:rPr>
        <w:t>（盖单位章）</w:t>
      </w:r>
    </w:p>
    <w:p>
      <w:pPr>
        <w:shd w:val="clear" w:fill="auto"/>
        <w:autoSpaceDE w:val="0"/>
        <w:autoSpaceDN w:val="0"/>
        <w:adjustRightInd w:val="0"/>
        <w:spacing w:line="480" w:lineRule="auto"/>
        <w:ind w:leftChars="500"/>
        <w:jc w:val="both"/>
        <w:rPr>
          <w:rFonts w:ascii="宋体" w:hAnsi="宋体"/>
          <w:b/>
          <w:color w:val="000000"/>
          <w:kern w:val="0"/>
          <w:sz w:val="24"/>
          <w:szCs w:val="22"/>
          <w:highlight w:val="none"/>
        </w:rPr>
      </w:pPr>
      <w:r>
        <w:rPr>
          <w:rFonts w:hint="eastAsia" w:ascii="宋体" w:hAnsi="宋体"/>
          <w:b/>
          <w:color w:val="000000"/>
          <w:kern w:val="0"/>
          <w:sz w:val="24"/>
          <w:szCs w:val="22"/>
          <w:highlight w:val="none"/>
        </w:rPr>
        <w:t>法定代表人或其委托代理人：</w:t>
      </w:r>
      <w:r>
        <w:rPr>
          <w:rFonts w:hint="eastAsia" w:ascii="宋体" w:hAnsi="宋体"/>
          <w:b/>
          <w:color w:val="000000"/>
          <w:kern w:val="0"/>
          <w:sz w:val="24"/>
          <w:szCs w:val="22"/>
          <w:highlight w:val="none"/>
          <w:u w:val="single"/>
        </w:rPr>
        <w:t xml:space="preserve">            </w:t>
      </w:r>
      <w:r>
        <w:rPr>
          <w:rFonts w:hint="eastAsia" w:ascii="宋体" w:hAnsi="宋体"/>
          <w:b/>
          <w:color w:val="000000"/>
          <w:kern w:val="0"/>
          <w:sz w:val="24"/>
          <w:szCs w:val="22"/>
          <w:highlight w:val="none"/>
        </w:rPr>
        <w:t>（签字或</w:t>
      </w:r>
      <w:r>
        <w:rPr>
          <w:rFonts w:hint="eastAsia" w:ascii="宋体" w:hAnsi="宋体"/>
          <w:b/>
          <w:color w:val="000000"/>
          <w:kern w:val="0"/>
          <w:sz w:val="24"/>
          <w:szCs w:val="22"/>
          <w:highlight w:val="none"/>
          <w:lang w:val="en-US" w:eastAsia="zh-CN"/>
        </w:rPr>
        <w:t>个人电子签章</w:t>
      </w:r>
      <w:r>
        <w:rPr>
          <w:rFonts w:hint="eastAsia" w:ascii="宋体" w:hAnsi="宋体"/>
          <w:b/>
          <w:color w:val="000000"/>
          <w:kern w:val="0"/>
          <w:sz w:val="24"/>
          <w:szCs w:val="22"/>
          <w:highlight w:val="none"/>
        </w:rPr>
        <w:t>）</w:t>
      </w:r>
    </w:p>
    <w:p>
      <w:pPr>
        <w:shd w:val="clear" w:fill="auto"/>
        <w:autoSpaceDE w:val="0"/>
        <w:autoSpaceDN w:val="0"/>
        <w:adjustRightInd w:val="0"/>
        <w:spacing w:line="480" w:lineRule="auto"/>
        <w:ind w:leftChars="500" w:firstLine="1687" w:firstLineChars="700"/>
        <w:jc w:val="both"/>
        <w:rPr>
          <w:rFonts w:ascii="宋体" w:hAnsi="宋体"/>
          <w:b/>
          <w:color w:val="000000"/>
          <w:kern w:val="0"/>
          <w:sz w:val="24"/>
          <w:szCs w:val="22"/>
          <w:highlight w:val="none"/>
        </w:rPr>
      </w:pPr>
      <w:r>
        <w:rPr>
          <w:rFonts w:hint="eastAsia" w:ascii="宋体" w:hAnsi="宋体"/>
          <w:b/>
          <w:color w:val="000000"/>
          <w:kern w:val="0"/>
          <w:sz w:val="24"/>
          <w:szCs w:val="22"/>
          <w:highlight w:val="none"/>
          <w:u w:val="single"/>
        </w:rPr>
        <w:t xml:space="preserve">      </w:t>
      </w:r>
      <w:r>
        <w:rPr>
          <w:rFonts w:hint="eastAsia" w:ascii="宋体" w:hAnsi="宋体"/>
          <w:b/>
          <w:color w:val="000000"/>
          <w:kern w:val="0"/>
          <w:sz w:val="24"/>
          <w:szCs w:val="22"/>
          <w:highlight w:val="none"/>
        </w:rPr>
        <w:t>年</w:t>
      </w:r>
      <w:r>
        <w:rPr>
          <w:rFonts w:hint="eastAsia" w:ascii="宋体" w:hAnsi="宋体"/>
          <w:b/>
          <w:color w:val="000000"/>
          <w:kern w:val="0"/>
          <w:sz w:val="24"/>
          <w:szCs w:val="22"/>
          <w:highlight w:val="none"/>
          <w:u w:val="single"/>
        </w:rPr>
        <w:t xml:space="preserve">     </w:t>
      </w:r>
      <w:r>
        <w:rPr>
          <w:rFonts w:hint="eastAsia" w:ascii="宋体" w:hAnsi="宋体"/>
          <w:b/>
          <w:color w:val="000000"/>
          <w:kern w:val="0"/>
          <w:sz w:val="24"/>
          <w:szCs w:val="22"/>
          <w:highlight w:val="none"/>
        </w:rPr>
        <w:t>月</w:t>
      </w:r>
      <w:r>
        <w:rPr>
          <w:rFonts w:hint="eastAsia" w:ascii="宋体" w:hAnsi="宋体"/>
          <w:b/>
          <w:color w:val="000000"/>
          <w:kern w:val="0"/>
          <w:sz w:val="24"/>
          <w:szCs w:val="22"/>
          <w:highlight w:val="none"/>
          <w:u w:val="single"/>
        </w:rPr>
        <w:t xml:space="preserve">     </w:t>
      </w:r>
      <w:r>
        <w:rPr>
          <w:rFonts w:hint="eastAsia" w:ascii="宋体" w:hAnsi="宋体"/>
          <w:b/>
          <w:color w:val="000000"/>
          <w:kern w:val="0"/>
          <w:sz w:val="24"/>
          <w:szCs w:val="22"/>
          <w:highlight w:val="none"/>
        </w:rPr>
        <w:t>日</w:t>
      </w:r>
    </w:p>
    <w:p>
      <w:pPr>
        <w:shd w:val="clear" w:fill="auto"/>
        <w:autoSpaceDE w:val="0"/>
        <w:autoSpaceDN w:val="0"/>
        <w:adjustRightInd w:val="0"/>
        <w:spacing w:line="480" w:lineRule="auto"/>
        <w:ind w:firstLine="2660" w:firstLineChars="950"/>
        <w:jc w:val="center"/>
        <w:rPr>
          <w:rFonts w:ascii="宋体" w:hAnsi="宋体"/>
          <w:color w:val="000000"/>
          <w:kern w:val="0"/>
          <w:sz w:val="28"/>
          <w:highlight w:val="none"/>
          <w:u w:val="single"/>
        </w:rPr>
      </w:pPr>
    </w:p>
    <w:p>
      <w:pPr>
        <w:shd w:val="clear" w:fill="auto"/>
        <w:autoSpaceDE w:val="0"/>
        <w:autoSpaceDN w:val="0"/>
        <w:adjustRightInd w:val="0"/>
        <w:jc w:val="center"/>
        <w:rPr>
          <w:rFonts w:ascii="宋体" w:hAnsi="宋体"/>
          <w:b/>
          <w:color w:val="000000"/>
          <w:kern w:val="0"/>
          <w:sz w:val="28"/>
          <w:highlight w:val="none"/>
        </w:rPr>
      </w:pPr>
    </w:p>
    <w:p>
      <w:pPr>
        <w:shd w:val="clear" w:fill="auto"/>
        <w:rPr>
          <w:rFonts w:hint="eastAsia" w:ascii="宋体" w:hAnsi="宋体"/>
          <w:b/>
          <w:color w:val="000000"/>
          <w:kern w:val="0"/>
          <w:sz w:val="28"/>
          <w:highlight w:val="none"/>
        </w:rPr>
      </w:pPr>
      <w:r>
        <w:rPr>
          <w:rFonts w:hint="eastAsia" w:ascii="宋体" w:hAnsi="宋体"/>
          <w:b/>
          <w:color w:val="000000"/>
          <w:kern w:val="0"/>
          <w:sz w:val="28"/>
          <w:highlight w:val="none"/>
        </w:rPr>
        <w:br w:type="page"/>
      </w:r>
    </w:p>
    <w:p>
      <w:pPr>
        <w:shd w:val="clear" w:fill="auto"/>
        <w:autoSpaceDE w:val="0"/>
        <w:autoSpaceDN w:val="0"/>
        <w:adjustRightInd w:val="0"/>
        <w:jc w:val="center"/>
        <w:rPr>
          <w:rFonts w:ascii="宋体" w:hAnsi="宋体"/>
          <w:b/>
          <w:color w:val="000000"/>
          <w:kern w:val="0"/>
          <w:sz w:val="28"/>
          <w:highlight w:val="none"/>
        </w:rPr>
      </w:pPr>
      <w:r>
        <w:rPr>
          <w:rFonts w:hint="eastAsia" w:ascii="宋体" w:hAnsi="宋体"/>
          <w:b/>
          <w:color w:val="000000"/>
          <w:kern w:val="0"/>
          <w:sz w:val="28"/>
          <w:highlight w:val="none"/>
        </w:rPr>
        <w:t>目 录</w:t>
      </w:r>
    </w:p>
    <w:p>
      <w:pPr>
        <w:keepNext w:val="0"/>
        <w:keepLines w:val="0"/>
        <w:pageBreakBefore w:val="0"/>
        <w:widowControl w:val="0"/>
        <w:shd w:val="clear" w:fill="auto"/>
        <w:kinsoku/>
        <w:wordWrap/>
        <w:overflowPunct/>
        <w:topLinePunct w:val="0"/>
        <w:autoSpaceDE w:val="0"/>
        <w:autoSpaceDN w:val="0"/>
        <w:bidi w:val="0"/>
        <w:adjustRightInd w:val="0"/>
        <w:snapToGrid/>
        <w:spacing w:line="360" w:lineRule="auto"/>
        <w:ind w:firstLine="898" w:firstLineChars="428"/>
        <w:jc w:val="left"/>
        <w:textAlignment w:val="auto"/>
        <w:rPr>
          <w:rFonts w:hint="eastAsia" w:ascii="宋体" w:hAnsi="宋体" w:eastAsia="宋体"/>
          <w:color w:val="000000"/>
          <w:kern w:val="0"/>
          <w:highlight w:val="none"/>
          <w:lang w:eastAsia="zh-CN"/>
        </w:rPr>
      </w:pPr>
      <w:r>
        <w:rPr>
          <w:rFonts w:hint="eastAsia" w:ascii="宋体" w:hAnsi="宋体" w:eastAsia="宋体"/>
          <w:color w:val="000000"/>
          <w:kern w:val="0"/>
          <w:highlight w:val="none"/>
          <w:lang w:eastAsia="zh-CN"/>
        </w:rPr>
        <w:t>一、投标函及投标函附录</w:t>
      </w:r>
    </w:p>
    <w:p>
      <w:pPr>
        <w:keepNext w:val="0"/>
        <w:keepLines w:val="0"/>
        <w:pageBreakBefore w:val="0"/>
        <w:widowControl w:val="0"/>
        <w:shd w:val="clear" w:fill="auto"/>
        <w:kinsoku/>
        <w:wordWrap/>
        <w:overflowPunct/>
        <w:topLinePunct w:val="0"/>
        <w:autoSpaceDE w:val="0"/>
        <w:autoSpaceDN w:val="0"/>
        <w:bidi w:val="0"/>
        <w:adjustRightInd w:val="0"/>
        <w:snapToGrid/>
        <w:spacing w:line="360" w:lineRule="auto"/>
        <w:ind w:firstLine="898" w:firstLineChars="428"/>
        <w:jc w:val="left"/>
        <w:textAlignment w:val="auto"/>
        <w:rPr>
          <w:rFonts w:hint="eastAsia" w:ascii="宋体" w:hAnsi="宋体" w:eastAsia="宋体"/>
          <w:color w:val="000000"/>
          <w:kern w:val="0"/>
          <w:highlight w:val="none"/>
          <w:lang w:eastAsia="zh-CN"/>
        </w:rPr>
      </w:pPr>
      <w:r>
        <w:rPr>
          <w:rFonts w:hint="eastAsia" w:ascii="宋体" w:hAnsi="宋体" w:eastAsia="宋体"/>
          <w:color w:val="000000"/>
          <w:kern w:val="0"/>
          <w:highlight w:val="none"/>
          <w:lang w:eastAsia="zh-CN"/>
        </w:rPr>
        <w:t>二、法定代表人身份证明及授权委托书</w:t>
      </w:r>
    </w:p>
    <w:p>
      <w:pPr>
        <w:keepNext w:val="0"/>
        <w:keepLines w:val="0"/>
        <w:pageBreakBefore w:val="0"/>
        <w:widowControl w:val="0"/>
        <w:shd w:val="clear" w:fill="auto"/>
        <w:kinsoku/>
        <w:wordWrap/>
        <w:overflowPunct/>
        <w:topLinePunct w:val="0"/>
        <w:autoSpaceDE w:val="0"/>
        <w:autoSpaceDN w:val="0"/>
        <w:bidi w:val="0"/>
        <w:adjustRightInd w:val="0"/>
        <w:snapToGrid/>
        <w:spacing w:line="360" w:lineRule="auto"/>
        <w:ind w:firstLine="898" w:firstLineChars="428"/>
        <w:jc w:val="left"/>
        <w:textAlignment w:val="auto"/>
        <w:rPr>
          <w:rFonts w:hint="eastAsia" w:ascii="宋体" w:hAnsi="宋体" w:eastAsia="宋体"/>
          <w:color w:val="000000"/>
          <w:kern w:val="0"/>
          <w:highlight w:val="none"/>
          <w:lang w:eastAsia="zh-CN"/>
        </w:rPr>
      </w:pPr>
      <w:r>
        <w:rPr>
          <w:rFonts w:hint="eastAsia" w:ascii="宋体" w:hAnsi="宋体"/>
          <w:color w:val="000000"/>
          <w:kern w:val="0"/>
          <w:highlight w:val="none"/>
          <w:lang w:val="en-US" w:eastAsia="zh-CN"/>
        </w:rPr>
        <w:t>三</w:t>
      </w:r>
      <w:r>
        <w:rPr>
          <w:rFonts w:hint="eastAsia" w:ascii="宋体" w:hAnsi="宋体" w:eastAsia="宋体"/>
          <w:color w:val="000000"/>
          <w:kern w:val="0"/>
          <w:highlight w:val="none"/>
          <w:lang w:eastAsia="zh-CN"/>
        </w:rPr>
        <w:t>、投标保证金</w:t>
      </w:r>
    </w:p>
    <w:p>
      <w:pPr>
        <w:keepNext w:val="0"/>
        <w:keepLines w:val="0"/>
        <w:pageBreakBefore w:val="0"/>
        <w:widowControl w:val="0"/>
        <w:shd w:val="clear" w:fill="auto"/>
        <w:kinsoku/>
        <w:wordWrap/>
        <w:overflowPunct/>
        <w:topLinePunct w:val="0"/>
        <w:autoSpaceDE w:val="0"/>
        <w:autoSpaceDN w:val="0"/>
        <w:bidi w:val="0"/>
        <w:adjustRightInd w:val="0"/>
        <w:snapToGrid/>
        <w:spacing w:line="360" w:lineRule="auto"/>
        <w:ind w:firstLine="898" w:firstLineChars="428"/>
        <w:jc w:val="left"/>
        <w:textAlignment w:val="auto"/>
        <w:rPr>
          <w:rFonts w:hint="eastAsia" w:ascii="宋体" w:hAnsi="宋体" w:eastAsia="宋体"/>
          <w:color w:val="000000"/>
          <w:kern w:val="0"/>
          <w:highlight w:val="none"/>
          <w:lang w:eastAsia="zh-CN"/>
        </w:rPr>
      </w:pPr>
      <w:r>
        <w:rPr>
          <w:rFonts w:hint="eastAsia" w:ascii="宋体" w:hAnsi="宋体"/>
          <w:color w:val="000000"/>
          <w:kern w:val="0"/>
          <w:highlight w:val="none"/>
          <w:lang w:val="en-US" w:eastAsia="zh-CN"/>
        </w:rPr>
        <w:t>四</w:t>
      </w:r>
      <w:r>
        <w:rPr>
          <w:rFonts w:hint="eastAsia" w:ascii="宋体" w:hAnsi="宋体" w:eastAsia="宋体"/>
          <w:color w:val="000000"/>
          <w:kern w:val="0"/>
          <w:highlight w:val="none"/>
          <w:lang w:eastAsia="zh-CN"/>
        </w:rPr>
        <w:t>、已标价工程量清单</w:t>
      </w:r>
    </w:p>
    <w:p>
      <w:pPr>
        <w:keepNext w:val="0"/>
        <w:keepLines w:val="0"/>
        <w:pageBreakBefore w:val="0"/>
        <w:widowControl w:val="0"/>
        <w:shd w:val="clear" w:fill="auto"/>
        <w:kinsoku/>
        <w:wordWrap/>
        <w:overflowPunct/>
        <w:topLinePunct w:val="0"/>
        <w:autoSpaceDE w:val="0"/>
        <w:autoSpaceDN w:val="0"/>
        <w:bidi w:val="0"/>
        <w:adjustRightInd w:val="0"/>
        <w:snapToGrid/>
        <w:spacing w:line="360" w:lineRule="auto"/>
        <w:ind w:firstLine="898" w:firstLineChars="428"/>
        <w:jc w:val="left"/>
        <w:textAlignment w:val="auto"/>
        <w:rPr>
          <w:rFonts w:hint="eastAsia" w:ascii="宋体" w:hAnsi="宋体" w:eastAsia="宋体"/>
          <w:color w:val="000000"/>
          <w:kern w:val="0"/>
          <w:highlight w:val="none"/>
          <w:lang w:eastAsia="zh-CN"/>
        </w:rPr>
      </w:pPr>
      <w:r>
        <w:rPr>
          <w:rFonts w:hint="eastAsia" w:ascii="宋体" w:hAnsi="宋体"/>
          <w:color w:val="000000"/>
          <w:kern w:val="0"/>
          <w:highlight w:val="none"/>
          <w:lang w:val="en-US" w:eastAsia="zh-CN"/>
        </w:rPr>
        <w:t>五</w:t>
      </w:r>
      <w:r>
        <w:rPr>
          <w:rFonts w:hint="eastAsia" w:ascii="宋体" w:hAnsi="宋体" w:eastAsia="宋体"/>
          <w:color w:val="000000"/>
          <w:kern w:val="0"/>
          <w:highlight w:val="none"/>
          <w:lang w:eastAsia="zh-CN"/>
        </w:rPr>
        <w:t>、施工组织设计</w:t>
      </w:r>
    </w:p>
    <w:p>
      <w:pPr>
        <w:keepNext w:val="0"/>
        <w:keepLines w:val="0"/>
        <w:pageBreakBefore w:val="0"/>
        <w:widowControl w:val="0"/>
        <w:shd w:val="clear" w:fill="auto"/>
        <w:kinsoku/>
        <w:wordWrap/>
        <w:overflowPunct/>
        <w:topLinePunct w:val="0"/>
        <w:autoSpaceDE w:val="0"/>
        <w:autoSpaceDN w:val="0"/>
        <w:bidi w:val="0"/>
        <w:adjustRightInd w:val="0"/>
        <w:snapToGrid/>
        <w:spacing w:line="360" w:lineRule="auto"/>
        <w:ind w:firstLine="898" w:firstLineChars="428"/>
        <w:jc w:val="left"/>
        <w:textAlignment w:val="auto"/>
        <w:rPr>
          <w:rFonts w:hint="eastAsia" w:ascii="宋体" w:hAnsi="宋体" w:eastAsia="宋体"/>
          <w:color w:val="000000"/>
          <w:kern w:val="0"/>
          <w:highlight w:val="none"/>
          <w:lang w:eastAsia="zh-CN"/>
        </w:rPr>
      </w:pPr>
      <w:r>
        <w:rPr>
          <w:rFonts w:hint="eastAsia" w:ascii="宋体" w:hAnsi="宋体"/>
          <w:color w:val="000000"/>
          <w:kern w:val="0"/>
          <w:highlight w:val="none"/>
          <w:lang w:val="en-US" w:eastAsia="zh-CN"/>
        </w:rPr>
        <w:t>六</w:t>
      </w:r>
      <w:r>
        <w:rPr>
          <w:rFonts w:hint="eastAsia" w:ascii="宋体" w:hAnsi="宋体" w:eastAsia="宋体"/>
          <w:color w:val="000000"/>
          <w:kern w:val="0"/>
          <w:highlight w:val="none"/>
          <w:lang w:eastAsia="zh-CN"/>
        </w:rPr>
        <w:t>、项目管理机构</w:t>
      </w:r>
    </w:p>
    <w:p>
      <w:pPr>
        <w:keepNext w:val="0"/>
        <w:keepLines w:val="0"/>
        <w:pageBreakBefore w:val="0"/>
        <w:widowControl w:val="0"/>
        <w:shd w:val="clear" w:fill="auto"/>
        <w:kinsoku/>
        <w:wordWrap/>
        <w:overflowPunct/>
        <w:topLinePunct w:val="0"/>
        <w:autoSpaceDE w:val="0"/>
        <w:autoSpaceDN w:val="0"/>
        <w:bidi w:val="0"/>
        <w:adjustRightInd w:val="0"/>
        <w:snapToGrid/>
        <w:spacing w:line="360" w:lineRule="auto"/>
        <w:ind w:firstLine="898" w:firstLineChars="428"/>
        <w:jc w:val="left"/>
        <w:textAlignment w:val="auto"/>
        <w:rPr>
          <w:rFonts w:hint="eastAsia" w:ascii="宋体" w:hAnsi="宋体" w:eastAsia="宋体"/>
          <w:color w:val="000000"/>
          <w:kern w:val="0"/>
          <w:highlight w:val="none"/>
          <w:lang w:eastAsia="zh-CN"/>
        </w:rPr>
      </w:pPr>
      <w:r>
        <w:rPr>
          <w:rFonts w:hint="eastAsia" w:ascii="宋体" w:hAnsi="宋体"/>
          <w:color w:val="000000"/>
          <w:kern w:val="0"/>
          <w:highlight w:val="none"/>
          <w:lang w:val="en-US" w:eastAsia="zh-CN"/>
        </w:rPr>
        <w:t>七</w:t>
      </w:r>
      <w:r>
        <w:rPr>
          <w:rFonts w:hint="eastAsia" w:ascii="宋体" w:hAnsi="宋体" w:eastAsia="宋体"/>
          <w:color w:val="000000"/>
          <w:kern w:val="0"/>
          <w:highlight w:val="none"/>
          <w:lang w:eastAsia="zh-CN"/>
        </w:rPr>
        <w:t>、资格审查资料</w:t>
      </w:r>
    </w:p>
    <w:p>
      <w:pPr>
        <w:keepNext w:val="0"/>
        <w:keepLines w:val="0"/>
        <w:pageBreakBefore w:val="0"/>
        <w:widowControl w:val="0"/>
        <w:shd w:val="clear" w:fill="auto"/>
        <w:kinsoku/>
        <w:wordWrap/>
        <w:overflowPunct/>
        <w:topLinePunct w:val="0"/>
        <w:autoSpaceDE w:val="0"/>
        <w:autoSpaceDN w:val="0"/>
        <w:bidi w:val="0"/>
        <w:adjustRightInd w:val="0"/>
        <w:snapToGrid/>
        <w:spacing w:line="360" w:lineRule="auto"/>
        <w:ind w:firstLine="898" w:firstLineChars="428"/>
        <w:jc w:val="left"/>
        <w:textAlignment w:val="auto"/>
        <w:rPr>
          <w:rFonts w:hint="eastAsia" w:ascii="宋体" w:hAnsi="宋体" w:eastAsia="宋体"/>
          <w:color w:val="000000"/>
          <w:kern w:val="0"/>
          <w:highlight w:val="none"/>
          <w:lang w:eastAsia="zh-CN"/>
        </w:rPr>
      </w:pPr>
      <w:r>
        <w:rPr>
          <w:rFonts w:hint="eastAsia" w:ascii="宋体" w:hAnsi="宋体"/>
          <w:color w:val="000000"/>
          <w:kern w:val="0"/>
          <w:highlight w:val="none"/>
          <w:lang w:val="en-US" w:eastAsia="zh-CN"/>
        </w:rPr>
        <w:t>八</w:t>
      </w:r>
      <w:r>
        <w:rPr>
          <w:rFonts w:hint="eastAsia" w:ascii="宋体" w:hAnsi="宋体" w:eastAsia="宋体"/>
          <w:color w:val="000000"/>
          <w:kern w:val="0"/>
          <w:highlight w:val="none"/>
          <w:lang w:eastAsia="zh-CN"/>
        </w:rPr>
        <w:t>、其他材料</w:t>
      </w:r>
    </w:p>
    <w:p>
      <w:pPr>
        <w:shd w:val="clear" w:fill="auto"/>
        <w:autoSpaceDE w:val="0"/>
        <w:autoSpaceDN w:val="0"/>
        <w:adjustRightInd w:val="0"/>
        <w:jc w:val="left"/>
        <w:rPr>
          <w:rFonts w:hint="eastAsia" w:ascii="宋体" w:hAnsi="宋体"/>
          <w:b/>
          <w:bCs/>
          <w:color w:val="000000"/>
          <w:kern w:val="0"/>
          <w:highlight w:val="none"/>
        </w:rPr>
      </w:pPr>
    </w:p>
    <w:p>
      <w:pPr>
        <w:shd w:val="clear" w:fill="auto"/>
        <w:autoSpaceDE w:val="0"/>
        <w:autoSpaceDN w:val="0"/>
        <w:adjustRightInd w:val="0"/>
        <w:jc w:val="left"/>
        <w:rPr>
          <w:rFonts w:hint="eastAsia" w:ascii="宋体" w:hAnsi="宋体"/>
          <w:b/>
          <w:bCs/>
          <w:color w:val="000000"/>
          <w:kern w:val="0"/>
          <w:highlight w:val="none"/>
        </w:rPr>
      </w:pPr>
    </w:p>
    <w:p>
      <w:pPr>
        <w:shd w:val="clear" w:fill="auto"/>
        <w:autoSpaceDE w:val="0"/>
        <w:autoSpaceDN w:val="0"/>
        <w:adjustRightInd w:val="0"/>
        <w:spacing w:line="360" w:lineRule="auto"/>
        <w:ind w:firstLine="422" w:firstLineChars="200"/>
        <w:jc w:val="left"/>
        <w:rPr>
          <w:rFonts w:ascii="宋体" w:hAnsi="宋体"/>
          <w:b/>
          <w:bCs/>
          <w:color w:val="000000"/>
          <w:kern w:val="0"/>
          <w:highlight w:val="none"/>
        </w:rPr>
      </w:pPr>
      <w:r>
        <w:rPr>
          <w:rFonts w:hint="eastAsia" w:ascii="宋体" w:hAnsi="宋体"/>
          <w:b/>
          <w:bCs/>
          <w:color w:val="000000"/>
          <w:kern w:val="0"/>
          <w:highlight w:val="none"/>
        </w:rPr>
        <w:t>注：投标文件格式中除投标函及投标函附录外，其他部分投标人可根据实际情况自行调整，而不会导致被否决投标。投标文件组成中单独的投标函格式以系统给定的格式为准，投标文件正文部分的投标函及投标函附录格式以本章要求格式为准。</w:t>
      </w:r>
    </w:p>
    <w:p>
      <w:pPr>
        <w:shd w:val="clear" w:fill="auto"/>
        <w:autoSpaceDE w:val="0"/>
        <w:autoSpaceDN w:val="0"/>
        <w:adjustRightInd w:val="0"/>
        <w:spacing w:line="360" w:lineRule="auto"/>
        <w:jc w:val="left"/>
        <w:rPr>
          <w:rFonts w:ascii="宋体" w:hAnsi="宋体"/>
          <w:color w:val="000000"/>
          <w:kern w:val="0"/>
          <w:highlight w:val="none"/>
        </w:rPr>
      </w:pPr>
    </w:p>
    <w:p>
      <w:pPr>
        <w:shd w:val="clear" w:fill="auto"/>
        <w:autoSpaceDE w:val="0"/>
        <w:autoSpaceDN w:val="0"/>
        <w:adjustRightInd w:val="0"/>
        <w:jc w:val="left"/>
        <w:rPr>
          <w:rFonts w:ascii="宋体" w:hAnsi="宋体"/>
          <w:color w:val="000000"/>
          <w:kern w:val="0"/>
          <w:highlight w:val="none"/>
        </w:rPr>
      </w:pPr>
    </w:p>
    <w:p>
      <w:pPr>
        <w:shd w:val="clear" w:fill="auto"/>
        <w:autoSpaceDE w:val="0"/>
        <w:autoSpaceDN w:val="0"/>
        <w:adjustRightInd w:val="0"/>
        <w:jc w:val="left"/>
        <w:rPr>
          <w:rFonts w:ascii="宋体" w:hAnsi="宋体"/>
          <w:color w:val="000000"/>
          <w:kern w:val="0"/>
          <w:highlight w:val="none"/>
        </w:rPr>
      </w:pPr>
    </w:p>
    <w:p>
      <w:pPr>
        <w:shd w:val="clear" w:fill="auto"/>
        <w:autoSpaceDE w:val="0"/>
        <w:autoSpaceDN w:val="0"/>
        <w:adjustRightInd w:val="0"/>
        <w:jc w:val="left"/>
        <w:rPr>
          <w:rFonts w:ascii="宋体" w:hAnsi="宋体"/>
          <w:color w:val="000000"/>
          <w:kern w:val="0"/>
          <w:highlight w:val="none"/>
        </w:rPr>
      </w:pPr>
    </w:p>
    <w:p>
      <w:pPr>
        <w:shd w:val="clear" w:fill="auto"/>
        <w:autoSpaceDE w:val="0"/>
        <w:autoSpaceDN w:val="0"/>
        <w:adjustRightInd w:val="0"/>
        <w:spacing w:before="156" w:beforeLines="50" w:line="360" w:lineRule="auto"/>
        <w:ind w:left="-359" w:leftChars="-171"/>
        <w:jc w:val="center"/>
        <w:outlineLvl w:val="2"/>
        <w:rPr>
          <w:rFonts w:ascii="宋体" w:hAnsi="宋体"/>
          <w:b/>
          <w:color w:val="000000"/>
          <w:kern w:val="0"/>
          <w:sz w:val="32"/>
          <w:highlight w:val="none"/>
        </w:rPr>
      </w:pPr>
      <w:r>
        <w:rPr>
          <w:rFonts w:ascii="宋体" w:hAnsi="宋体"/>
          <w:color w:val="000000"/>
          <w:kern w:val="0"/>
          <w:highlight w:val="none"/>
        </w:rPr>
        <w:br w:type="page"/>
      </w:r>
      <w:bookmarkStart w:id="855" w:name="_Toc21232"/>
      <w:bookmarkStart w:id="856" w:name="_Toc410"/>
      <w:bookmarkStart w:id="857" w:name="_Toc331006997"/>
      <w:bookmarkStart w:id="858" w:name="_Toc4552"/>
      <w:bookmarkStart w:id="859" w:name="_Toc359399425"/>
      <w:bookmarkStart w:id="860" w:name="_Toc28316"/>
      <w:r>
        <w:rPr>
          <w:rFonts w:hint="eastAsia" w:ascii="宋体" w:hAnsi="宋体"/>
          <w:b/>
          <w:color w:val="000000"/>
          <w:kern w:val="0"/>
          <w:sz w:val="32"/>
          <w:highlight w:val="none"/>
        </w:rPr>
        <w:t>一、投标函及投标函附录</w:t>
      </w:r>
      <w:bookmarkEnd w:id="855"/>
      <w:bookmarkEnd w:id="856"/>
      <w:bookmarkEnd w:id="857"/>
      <w:bookmarkEnd w:id="858"/>
      <w:bookmarkEnd w:id="859"/>
      <w:bookmarkEnd w:id="860"/>
    </w:p>
    <w:p>
      <w:pPr>
        <w:numPr>
          <w:ilvl w:val="0"/>
          <w:numId w:val="0"/>
        </w:numPr>
        <w:shd w:val="clear" w:fill="auto"/>
        <w:autoSpaceDE w:val="0"/>
        <w:autoSpaceDN w:val="0"/>
        <w:adjustRightInd w:val="0"/>
        <w:spacing w:line="360" w:lineRule="auto"/>
        <w:jc w:val="center"/>
        <w:rPr>
          <w:rFonts w:ascii="宋体" w:hAnsi="宋体"/>
          <w:color w:val="000000"/>
          <w:kern w:val="0"/>
          <w:sz w:val="24"/>
          <w:highlight w:val="none"/>
        </w:rPr>
      </w:pPr>
      <w:r>
        <w:rPr>
          <w:rFonts w:hint="eastAsia" w:ascii="宋体" w:hAnsi="宋体"/>
          <w:color w:val="000000"/>
          <w:kern w:val="0"/>
          <w:sz w:val="24"/>
          <w:highlight w:val="none"/>
          <w:lang w:val="en-US" w:eastAsia="zh-CN"/>
        </w:rPr>
        <w:t>（一）</w:t>
      </w:r>
      <w:r>
        <w:rPr>
          <w:rFonts w:hint="eastAsia" w:ascii="宋体" w:hAnsi="宋体"/>
          <w:color w:val="000000"/>
          <w:kern w:val="0"/>
          <w:sz w:val="24"/>
          <w:highlight w:val="none"/>
        </w:rPr>
        <w:t>投标函</w:t>
      </w:r>
    </w:p>
    <w:p>
      <w:pPr>
        <w:shd w:val="clear" w:fill="auto"/>
        <w:autoSpaceDE w:val="0"/>
        <w:autoSpaceDN w:val="0"/>
        <w:adjustRightInd w:val="0"/>
        <w:spacing w:line="360" w:lineRule="auto"/>
        <w:jc w:val="left"/>
        <w:rPr>
          <w:rFonts w:ascii="宋体" w:hAnsi="宋体"/>
          <w:color w:val="000000"/>
          <w:kern w:val="0"/>
          <w:highlight w:val="none"/>
        </w:rPr>
      </w:pPr>
      <w:r>
        <w:rPr>
          <w:rFonts w:hint="eastAsia" w:ascii="宋体" w:hAnsi="宋体"/>
          <w:color w:val="000000"/>
          <w:kern w:val="0"/>
          <w:highlight w:val="none"/>
          <w:u w:val="single"/>
        </w:rPr>
        <w:t xml:space="preserve">                  </w:t>
      </w:r>
      <w:r>
        <w:rPr>
          <w:rFonts w:hint="eastAsia" w:ascii="宋体" w:hAnsi="宋体"/>
          <w:color w:val="000000"/>
          <w:kern w:val="0"/>
          <w:highlight w:val="none"/>
        </w:rPr>
        <w:t>（招标人名称）：</w:t>
      </w:r>
    </w:p>
    <w:p>
      <w:pPr>
        <w:keepNext w:val="0"/>
        <w:keepLines w:val="0"/>
        <w:pageBreakBefore w:val="0"/>
        <w:widowControl/>
        <w:shd w:val="clear" w:fill="auto"/>
        <w:kinsoku/>
        <w:wordWrap/>
        <w:overflowPunct/>
        <w:topLinePunct w:val="0"/>
        <w:autoSpaceDE w:val="0"/>
        <w:autoSpaceDN w:val="0"/>
        <w:bidi w:val="0"/>
        <w:snapToGrid/>
        <w:spacing w:line="360" w:lineRule="auto"/>
        <w:ind w:firstLine="359"/>
        <w:jc w:val="left"/>
        <w:textAlignment w:val="auto"/>
        <w:rPr>
          <w:rFonts w:hint="eastAsia" w:ascii="宋体" w:hAnsi="宋体" w:eastAsia="宋体" w:cs="宋体"/>
          <w:color w:val="auto"/>
          <w:kern w:val="2"/>
          <w:sz w:val="21"/>
          <w:szCs w:val="20"/>
          <w:highlight w:val="none"/>
        </w:rPr>
      </w:pPr>
      <w:r>
        <w:rPr>
          <w:rFonts w:hint="eastAsia" w:ascii="宋体" w:hAnsi="宋体"/>
          <w:color w:val="000000"/>
          <w:kern w:val="0"/>
          <w:highlight w:val="none"/>
        </w:rPr>
        <w:t>1．我方已仔细研究了</w:t>
      </w:r>
      <w:r>
        <w:rPr>
          <w:rFonts w:hint="eastAsia" w:ascii="宋体" w:hAnsi="宋体"/>
          <w:color w:val="000000"/>
          <w:kern w:val="0"/>
          <w:highlight w:val="none"/>
          <w:u w:val="single"/>
        </w:rPr>
        <w:t xml:space="preserve">         </w:t>
      </w:r>
      <w:r>
        <w:rPr>
          <w:rFonts w:hint="eastAsia" w:ascii="宋体" w:hAnsi="宋体"/>
          <w:color w:val="000000"/>
          <w:kern w:val="0"/>
          <w:highlight w:val="none"/>
        </w:rPr>
        <w:t>（项目名称）施工招标文件的全部内容，包括修改文件（如有）及有关附件，已经充分理解并掌握了本工程招标的全部有关情况，同意接受招标文件的全部内容和条件，</w:t>
      </w:r>
      <w:r>
        <w:rPr>
          <w:rFonts w:hint="eastAsia" w:ascii="宋体" w:hAnsi="宋体" w:eastAsia="宋体" w:cs="宋体"/>
          <w:color w:val="auto"/>
          <w:kern w:val="0"/>
          <w:sz w:val="21"/>
          <w:szCs w:val="20"/>
          <w:highlight w:val="none"/>
        </w:rPr>
        <w:t>愿意以人民币投标总报价（大写）</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 xml:space="preserve"> 元（¥</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 xml:space="preserve"> ）</w:t>
      </w:r>
      <w:r>
        <w:rPr>
          <w:rFonts w:hint="eastAsia" w:ascii="宋体" w:hAnsi="宋体" w:eastAsia="宋体" w:cs="宋体"/>
          <w:color w:val="auto"/>
          <w:kern w:val="0"/>
          <w:sz w:val="21"/>
          <w:szCs w:val="20"/>
          <w:highlight w:val="none"/>
          <w:lang w:eastAsia="zh-CN"/>
        </w:rPr>
        <w:t>，</w:t>
      </w:r>
      <w:r>
        <w:rPr>
          <w:rFonts w:hint="eastAsia" w:ascii="宋体" w:hAnsi="宋体" w:eastAsia="宋体" w:cs="宋体"/>
          <w:color w:val="auto"/>
          <w:kern w:val="0"/>
          <w:sz w:val="21"/>
          <w:szCs w:val="21"/>
          <w:highlight w:val="none"/>
        </w:rPr>
        <w:t>评标价</w:t>
      </w:r>
      <w:r>
        <w:rPr>
          <w:rFonts w:hint="eastAsia" w:ascii="宋体" w:hAnsi="宋体" w:eastAsia="宋体" w:cs="宋体"/>
          <w:color w:val="auto"/>
          <w:kern w:val="0"/>
          <w:sz w:val="21"/>
          <w:szCs w:val="20"/>
          <w:highlight w:val="none"/>
        </w:rPr>
        <w:t>（大写）</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 xml:space="preserve"> 元（¥</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 xml:space="preserve"> ），工期</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日历天，按合同约定实施和完成承包工程，修补工程中的任何缺陷，工程质量达到</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w:t>
      </w:r>
    </w:p>
    <w:p>
      <w:pPr>
        <w:keepNext w:val="0"/>
        <w:keepLines w:val="0"/>
        <w:pageBreakBefore w:val="0"/>
        <w:shd w:val="clear" w:fill="auto"/>
        <w:kinsoku/>
        <w:wordWrap/>
        <w:overflowPunct/>
        <w:topLinePunct w:val="0"/>
        <w:autoSpaceDE w:val="0"/>
        <w:autoSpaceDN w:val="0"/>
        <w:bidi w:val="0"/>
        <w:adjustRightInd w:val="0"/>
        <w:snapToGrid/>
        <w:spacing w:line="360" w:lineRule="auto"/>
        <w:ind w:firstLine="359" w:firstLineChars="171"/>
        <w:jc w:val="left"/>
        <w:textAlignment w:val="auto"/>
        <w:rPr>
          <w:rFonts w:ascii="宋体" w:hAnsi="宋体"/>
          <w:color w:val="000000"/>
          <w:kern w:val="0"/>
          <w:highlight w:val="none"/>
        </w:rPr>
      </w:pPr>
      <w:r>
        <w:rPr>
          <w:rFonts w:hint="eastAsia" w:ascii="宋体" w:hAnsi="宋体"/>
          <w:color w:val="000000"/>
          <w:kern w:val="0"/>
          <w:highlight w:val="none"/>
        </w:rPr>
        <w:t>2．我方承诺在投标有效期内不修改、撤销投标文件，投标有效期为：</w:t>
      </w:r>
      <w:r>
        <w:rPr>
          <w:rFonts w:hint="eastAsia" w:ascii="宋体" w:hAnsi="宋体"/>
          <w:color w:val="000000"/>
          <w:kern w:val="0"/>
          <w:highlight w:val="none"/>
          <w:u w:val="single"/>
        </w:rPr>
        <w:t xml:space="preserve">      </w:t>
      </w:r>
      <w:r>
        <w:rPr>
          <w:rFonts w:hint="eastAsia" w:ascii="宋体" w:hAnsi="宋体"/>
          <w:color w:val="000000"/>
          <w:kern w:val="0"/>
          <w:highlight w:val="none"/>
        </w:rPr>
        <w:t>日历</w:t>
      </w:r>
      <w:r>
        <w:rPr>
          <w:rFonts w:hint="eastAsia" w:ascii="宋体" w:hAnsi="宋体"/>
          <w:color w:val="000000"/>
          <w:kern w:val="0"/>
          <w:highlight w:val="none"/>
          <w:lang w:eastAsia="zh-CN"/>
        </w:rPr>
        <w:t>天</w:t>
      </w:r>
      <w:r>
        <w:rPr>
          <w:rFonts w:hint="eastAsia" w:ascii="宋体" w:hAnsi="宋体"/>
          <w:color w:val="000000"/>
          <w:kern w:val="0"/>
          <w:highlight w:val="none"/>
        </w:rPr>
        <w:t>。</w:t>
      </w:r>
    </w:p>
    <w:p>
      <w:pPr>
        <w:keepNext w:val="0"/>
        <w:keepLines w:val="0"/>
        <w:pageBreakBefore w:val="0"/>
        <w:shd w:val="clear" w:fill="auto"/>
        <w:kinsoku/>
        <w:wordWrap/>
        <w:overflowPunct/>
        <w:topLinePunct w:val="0"/>
        <w:autoSpaceDE w:val="0"/>
        <w:autoSpaceDN w:val="0"/>
        <w:bidi w:val="0"/>
        <w:adjustRightInd w:val="0"/>
        <w:snapToGrid/>
        <w:spacing w:line="360" w:lineRule="auto"/>
        <w:ind w:firstLine="359" w:firstLineChars="171"/>
        <w:jc w:val="left"/>
        <w:textAlignment w:val="auto"/>
        <w:rPr>
          <w:rFonts w:ascii="宋体" w:hAnsi="宋体"/>
          <w:color w:val="000000"/>
          <w:kern w:val="0"/>
          <w:highlight w:val="none"/>
        </w:rPr>
      </w:pPr>
      <w:r>
        <w:rPr>
          <w:rFonts w:hint="eastAsia" w:ascii="宋体" w:hAnsi="宋体"/>
          <w:color w:val="000000"/>
          <w:kern w:val="0"/>
          <w:highlight w:val="none"/>
        </w:rPr>
        <w:t>3． 随同本投标函提交投标保证金一份，金额为人民币</w:t>
      </w:r>
      <w:r>
        <w:rPr>
          <w:rFonts w:hint="eastAsia" w:ascii="宋体" w:hAnsi="宋体"/>
          <w:color w:val="000000"/>
          <w:kern w:val="0"/>
          <w:highlight w:val="none"/>
          <w:u w:val="single"/>
        </w:rPr>
        <w:t xml:space="preserve">        </w:t>
      </w:r>
      <w:r>
        <w:rPr>
          <w:rFonts w:hint="eastAsia" w:ascii="宋体" w:hAnsi="宋体"/>
          <w:color w:val="000000"/>
          <w:kern w:val="0"/>
          <w:highlight w:val="none"/>
        </w:rPr>
        <w:t>（大写） 元（¥</w:t>
      </w:r>
      <w:r>
        <w:rPr>
          <w:rFonts w:hint="eastAsia" w:ascii="宋体" w:hAnsi="宋体"/>
          <w:color w:val="000000"/>
          <w:kern w:val="0"/>
          <w:highlight w:val="none"/>
          <w:u w:val="single"/>
        </w:rPr>
        <w:t xml:space="preserve">         </w:t>
      </w:r>
      <w:r>
        <w:rPr>
          <w:rFonts w:hint="eastAsia" w:ascii="宋体" w:hAnsi="宋体"/>
          <w:color w:val="000000"/>
          <w:kern w:val="0"/>
          <w:highlight w:val="none"/>
        </w:rPr>
        <w:t>）。</w:t>
      </w:r>
    </w:p>
    <w:p>
      <w:pPr>
        <w:keepNext w:val="0"/>
        <w:keepLines w:val="0"/>
        <w:pageBreakBefore w:val="0"/>
        <w:shd w:val="clear" w:fill="auto"/>
        <w:kinsoku/>
        <w:wordWrap/>
        <w:overflowPunct/>
        <w:topLinePunct w:val="0"/>
        <w:autoSpaceDE w:val="0"/>
        <w:autoSpaceDN w:val="0"/>
        <w:bidi w:val="0"/>
        <w:adjustRightInd w:val="0"/>
        <w:snapToGrid/>
        <w:spacing w:line="360" w:lineRule="auto"/>
        <w:ind w:firstLine="359" w:firstLineChars="171"/>
        <w:jc w:val="left"/>
        <w:textAlignment w:val="auto"/>
        <w:rPr>
          <w:rFonts w:ascii="宋体" w:hAnsi="宋体"/>
          <w:color w:val="000000"/>
          <w:kern w:val="0"/>
          <w:highlight w:val="none"/>
        </w:rPr>
      </w:pPr>
      <w:r>
        <w:rPr>
          <w:rFonts w:hint="eastAsia" w:ascii="宋体" w:hAnsi="宋体"/>
          <w:color w:val="000000"/>
          <w:kern w:val="0"/>
          <w:highlight w:val="none"/>
        </w:rPr>
        <w:t>4．如我方中标：</w:t>
      </w:r>
    </w:p>
    <w:p>
      <w:pPr>
        <w:keepNext w:val="0"/>
        <w:keepLines w:val="0"/>
        <w:pageBreakBefore w:val="0"/>
        <w:widowControl/>
        <w:shd w:val="clear" w:fill="auto"/>
        <w:kinsoku/>
        <w:wordWrap/>
        <w:overflowPunct/>
        <w:topLinePunct w:val="0"/>
        <w:autoSpaceDE w:val="0"/>
        <w:autoSpaceDN w:val="0"/>
        <w:bidi w:val="0"/>
        <w:snapToGrid/>
        <w:spacing w:line="360" w:lineRule="auto"/>
        <w:ind w:firstLine="359"/>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（1）我方承诺在收到中标通知书后，在中标通知书规定的期限内与你方签订合同。</w:t>
      </w:r>
    </w:p>
    <w:p>
      <w:pPr>
        <w:keepNext w:val="0"/>
        <w:keepLines w:val="0"/>
        <w:pageBreakBefore w:val="0"/>
        <w:widowControl/>
        <w:shd w:val="clear" w:fill="auto"/>
        <w:kinsoku/>
        <w:wordWrap/>
        <w:overflowPunct/>
        <w:topLinePunct w:val="0"/>
        <w:autoSpaceDE w:val="0"/>
        <w:autoSpaceDN w:val="0"/>
        <w:bidi w:val="0"/>
        <w:snapToGrid/>
        <w:spacing w:line="360" w:lineRule="auto"/>
        <w:ind w:firstLine="359"/>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（2）随同本投标函递交的投标函附录属于合同文件的组成部分。</w:t>
      </w:r>
    </w:p>
    <w:p>
      <w:pPr>
        <w:keepNext w:val="0"/>
        <w:keepLines w:val="0"/>
        <w:pageBreakBefore w:val="0"/>
        <w:widowControl/>
        <w:shd w:val="clear" w:fill="auto"/>
        <w:kinsoku/>
        <w:wordWrap/>
        <w:overflowPunct/>
        <w:topLinePunct w:val="0"/>
        <w:autoSpaceDE w:val="0"/>
        <w:autoSpaceDN w:val="0"/>
        <w:bidi w:val="0"/>
        <w:snapToGrid/>
        <w:spacing w:line="360" w:lineRule="auto"/>
        <w:ind w:firstLine="359"/>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w:t>
      </w:r>
      <w:r>
        <w:rPr>
          <w:rFonts w:hint="eastAsia" w:ascii="宋体" w:hAnsi="宋体" w:cs="宋体"/>
          <w:color w:val="auto"/>
          <w:kern w:val="2"/>
          <w:sz w:val="21"/>
          <w:szCs w:val="20"/>
          <w:highlight w:val="none"/>
          <w:lang w:val="en-US" w:eastAsia="zh-CN"/>
        </w:rPr>
        <w:t>3</w:t>
      </w:r>
      <w:r>
        <w:rPr>
          <w:rFonts w:hint="eastAsia" w:ascii="宋体" w:hAnsi="宋体" w:eastAsia="宋体" w:cs="宋体"/>
          <w:color w:val="auto"/>
          <w:kern w:val="2"/>
          <w:sz w:val="21"/>
          <w:szCs w:val="20"/>
          <w:highlight w:val="none"/>
        </w:rPr>
        <w:t>）我方承诺在合同约定的期限内完成并移交全部合同工程。</w:t>
      </w:r>
    </w:p>
    <w:p>
      <w:pPr>
        <w:keepNext w:val="0"/>
        <w:keepLines w:val="0"/>
        <w:pageBreakBefore w:val="0"/>
        <w:widowControl/>
        <w:shd w:val="clear" w:fill="auto"/>
        <w:kinsoku/>
        <w:wordWrap/>
        <w:overflowPunct/>
        <w:topLinePunct w:val="0"/>
        <w:autoSpaceDE w:val="0"/>
        <w:autoSpaceDN w:val="0"/>
        <w:bidi w:val="0"/>
        <w:snapToGrid/>
        <w:spacing w:line="360" w:lineRule="auto"/>
        <w:ind w:firstLine="359"/>
        <w:jc w:val="left"/>
        <w:textAlignment w:val="auto"/>
        <w:rPr>
          <w:rFonts w:hint="eastAsia" w:ascii="宋体" w:hAnsi="宋体" w:eastAsia="宋体" w:cs="宋体"/>
          <w:color w:val="auto"/>
          <w:kern w:val="2"/>
          <w:sz w:val="21"/>
          <w:szCs w:val="20"/>
          <w:highlight w:val="yellow"/>
        </w:rPr>
      </w:pPr>
      <w:r>
        <w:rPr>
          <w:rFonts w:hint="eastAsia" w:ascii="宋体" w:hAnsi="宋体" w:eastAsia="宋体" w:cs="宋体"/>
          <w:color w:val="auto"/>
          <w:kern w:val="2"/>
          <w:sz w:val="21"/>
          <w:szCs w:val="20"/>
          <w:highlight w:val="yellow"/>
        </w:rPr>
        <w:t>（</w:t>
      </w:r>
      <w:r>
        <w:rPr>
          <w:rFonts w:hint="eastAsia" w:ascii="宋体" w:hAnsi="宋体" w:cs="宋体"/>
          <w:color w:val="auto"/>
          <w:kern w:val="2"/>
          <w:sz w:val="21"/>
          <w:szCs w:val="20"/>
          <w:highlight w:val="yellow"/>
          <w:lang w:val="en-US" w:eastAsia="zh-CN"/>
        </w:rPr>
        <w:t>4</w:t>
      </w:r>
      <w:r>
        <w:rPr>
          <w:rFonts w:hint="eastAsia" w:ascii="宋体" w:hAnsi="宋体" w:eastAsia="宋体" w:cs="宋体"/>
          <w:color w:val="auto"/>
          <w:kern w:val="2"/>
          <w:sz w:val="21"/>
          <w:szCs w:val="20"/>
          <w:highlight w:val="yellow"/>
        </w:rPr>
        <w:t>）如我单位中标，承诺按照招标文件规定的代理服务费收费标准，在领取中标通知书5日内向代理机构支付代理服务费。</w:t>
      </w:r>
    </w:p>
    <w:p>
      <w:pPr>
        <w:keepNext w:val="0"/>
        <w:keepLines w:val="0"/>
        <w:pageBreakBefore w:val="0"/>
        <w:widowControl/>
        <w:shd w:val="clear" w:fill="auto"/>
        <w:kinsoku/>
        <w:wordWrap/>
        <w:overflowPunct/>
        <w:topLinePunct w:val="0"/>
        <w:autoSpaceDE w:val="0"/>
        <w:autoSpaceDN w:val="0"/>
        <w:bidi w:val="0"/>
        <w:snapToGrid/>
        <w:spacing w:line="360" w:lineRule="auto"/>
        <w:ind w:firstLine="359"/>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5</w:t>
      </w:r>
      <w:r>
        <w:rPr>
          <w:rFonts w:hint="eastAsia" w:ascii="宋体" w:hAnsi="宋体" w:eastAsia="宋体" w:cs="宋体"/>
          <w:color w:val="auto"/>
          <w:kern w:val="0"/>
          <w:sz w:val="21"/>
          <w:szCs w:val="20"/>
          <w:highlight w:val="none"/>
          <w:u w:val="none"/>
        </w:rPr>
        <w:t>．我方在此声明</w:t>
      </w:r>
      <w:r>
        <w:rPr>
          <w:rFonts w:hint="eastAsia" w:ascii="宋体" w:hAnsi="宋体" w:eastAsia="宋体" w:cs="宋体"/>
          <w:color w:val="auto"/>
          <w:kern w:val="0"/>
          <w:sz w:val="21"/>
          <w:szCs w:val="20"/>
          <w:highlight w:val="none"/>
        </w:rPr>
        <w:t>，所递交的投标文件及有关资料内容完整、真实和准确。</w:t>
      </w:r>
    </w:p>
    <w:p>
      <w:pPr>
        <w:keepNext w:val="0"/>
        <w:keepLines w:val="0"/>
        <w:pageBreakBefore w:val="0"/>
        <w:widowControl/>
        <w:shd w:val="clear" w:fill="auto"/>
        <w:kinsoku/>
        <w:wordWrap/>
        <w:overflowPunct/>
        <w:topLinePunct w:val="0"/>
        <w:autoSpaceDE w:val="0"/>
        <w:autoSpaceDN w:val="0"/>
        <w:bidi w:val="0"/>
        <w:snapToGrid/>
        <w:spacing w:line="360" w:lineRule="auto"/>
        <w:ind w:firstLine="359"/>
        <w:jc w:val="left"/>
        <w:textAlignment w:val="auto"/>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6．</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（其他补充说明）。</w:t>
      </w:r>
    </w:p>
    <w:p>
      <w:pPr>
        <w:shd w:val="clear" w:fill="auto"/>
        <w:autoSpaceDE w:val="0"/>
        <w:autoSpaceDN w:val="0"/>
        <w:adjustRightInd w:val="0"/>
        <w:spacing w:line="360" w:lineRule="auto"/>
        <w:ind w:left="3360" w:leftChars="1600"/>
        <w:jc w:val="left"/>
        <w:rPr>
          <w:rFonts w:hint="eastAsia" w:ascii="宋体" w:hAnsi="宋体"/>
          <w:color w:val="000000"/>
          <w:kern w:val="0"/>
          <w:highlight w:val="none"/>
        </w:rPr>
      </w:pPr>
    </w:p>
    <w:p>
      <w:pPr>
        <w:pStyle w:val="27"/>
        <w:shd w:val="clear" w:fill="auto"/>
        <w:rPr>
          <w:rFonts w:hint="eastAsia"/>
          <w:highlight w:val="none"/>
        </w:rPr>
      </w:pPr>
    </w:p>
    <w:p>
      <w:pPr>
        <w:shd w:val="clear" w:fill="auto"/>
        <w:autoSpaceDE w:val="0"/>
        <w:autoSpaceDN w:val="0"/>
        <w:adjustRightInd w:val="0"/>
        <w:spacing w:line="360" w:lineRule="auto"/>
        <w:ind w:left="3360" w:leftChars="1600"/>
        <w:jc w:val="left"/>
        <w:rPr>
          <w:rFonts w:ascii="宋体" w:hAnsi="宋体"/>
          <w:color w:val="000000"/>
          <w:kern w:val="0"/>
          <w:highlight w:val="none"/>
        </w:rPr>
      </w:pPr>
      <w:r>
        <w:rPr>
          <w:rFonts w:hint="eastAsia" w:ascii="宋体" w:hAnsi="宋体"/>
          <w:color w:val="000000"/>
          <w:kern w:val="0"/>
          <w:highlight w:val="none"/>
        </w:rPr>
        <w:t>投 标 人：</w:t>
      </w:r>
      <w:r>
        <w:rPr>
          <w:rFonts w:hint="eastAsia" w:ascii="宋体" w:hAnsi="宋体"/>
          <w:color w:val="000000"/>
          <w:kern w:val="0"/>
          <w:highlight w:val="none"/>
          <w:u w:val="single"/>
        </w:rPr>
        <w:t xml:space="preserve">                             </w:t>
      </w:r>
      <w:r>
        <w:rPr>
          <w:rFonts w:hint="eastAsia" w:ascii="宋体" w:hAnsi="宋体"/>
          <w:color w:val="000000"/>
          <w:kern w:val="0"/>
          <w:highlight w:val="none"/>
        </w:rPr>
        <w:t>（盖单位章）</w:t>
      </w:r>
    </w:p>
    <w:p>
      <w:pPr>
        <w:shd w:val="clear" w:fill="auto"/>
        <w:autoSpaceDE w:val="0"/>
        <w:autoSpaceDN w:val="0"/>
        <w:adjustRightInd w:val="0"/>
        <w:spacing w:line="360" w:lineRule="auto"/>
        <w:ind w:left="3360" w:leftChars="1600"/>
        <w:jc w:val="left"/>
        <w:rPr>
          <w:rFonts w:ascii="宋体" w:hAnsi="宋体"/>
          <w:color w:val="000000"/>
          <w:kern w:val="0"/>
          <w:highlight w:val="none"/>
        </w:rPr>
      </w:pPr>
      <w:r>
        <w:rPr>
          <w:rFonts w:hint="eastAsia" w:ascii="宋体" w:hAnsi="宋体"/>
          <w:color w:val="000000"/>
          <w:kern w:val="0"/>
          <w:highlight w:val="none"/>
        </w:rPr>
        <w:t>法定代表人或其委托代理人：</w:t>
      </w:r>
      <w:r>
        <w:rPr>
          <w:rFonts w:hint="eastAsia" w:ascii="宋体" w:hAnsi="宋体"/>
          <w:color w:val="000000"/>
          <w:kern w:val="0"/>
          <w:highlight w:val="none"/>
          <w:u w:val="single"/>
        </w:rPr>
        <w:t xml:space="preserve">          </w:t>
      </w:r>
      <w:r>
        <w:rPr>
          <w:rFonts w:hint="eastAsia" w:ascii="宋体" w:hAnsi="宋体"/>
          <w:color w:val="000000"/>
          <w:kern w:val="0"/>
          <w:highlight w:val="none"/>
        </w:rPr>
        <w:t xml:space="preserve"> （</w:t>
      </w:r>
      <w:r>
        <w:rPr>
          <w:rFonts w:hint="eastAsia" w:ascii="宋体" w:hAnsi="宋体" w:eastAsia="宋体" w:cs="宋体"/>
          <w:color w:val="auto"/>
          <w:sz w:val="21"/>
          <w:highlight w:val="none"/>
        </w:rPr>
        <w:t>签字或个人电子签章</w:t>
      </w:r>
      <w:r>
        <w:rPr>
          <w:rFonts w:hint="eastAsia" w:ascii="宋体" w:hAnsi="宋体"/>
          <w:color w:val="000000"/>
          <w:kern w:val="0"/>
          <w:highlight w:val="none"/>
        </w:rPr>
        <w:t>）</w:t>
      </w:r>
    </w:p>
    <w:p>
      <w:pPr>
        <w:shd w:val="clear" w:fill="auto"/>
        <w:autoSpaceDE w:val="0"/>
        <w:autoSpaceDN w:val="0"/>
        <w:adjustRightInd w:val="0"/>
        <w:spacing w:line="360" w:lineRule="auto"/>
        <w:ind w:left="3360" w:leftChars="1600"/>
        <w:jc w:val="left"/>
        <w:rPr>
          <w:rFonts w:ascii="宋体" w:hAnsi="宋体"/>
          <w:color w:val="000000"/>
          <w:kern w:val="0"/>
          <w:highlight w:val="none"/>
        </w:rPr>
      </w:pPr>
      <w:r>
        <w:rPr>
          <w:rFonts w:hint="eastAsia" w:ascii="宋体" w:hAnsi="宋体"/>
          <w:color w:val="000000"/>
          <w:kern w:val="0"/>
          <w:highlight w:val="none"/>
        </w:rPr>
        <w:t>地址：</w:t>
      </w:r>
      <w:r>
        <w:rPr>
          <w:rFonts w:hint="eastAsia" w:ascii="宋体" w:hAnsi="宋体"/>
          <w:color w:val="000000"/>
          <w:kern w:val="0"/>
          <w:highlight w:val="none"/>
          <w:u w:val="single"/>
        </w:rPr>
        <w:t xml:space="preserve">                               </w:t>
      </w:r>
    </w:p>
    <w:p>
      <w:pPr>
        <w:shd w:val="clear" w:fill="auto"/>
        <w:autoSpaceDE w:val="0"/>
        <w:autoSpaceDN w:val="0"/>
        <w:adjustRightInd w:val="0"/>
        <w:spacing w:line="360" w:lineRule="auto"/>
        <w:ind w:left="3360" w:leftChars="1600"/>
        <w:jc w:val="left"/>
        <w:rPr>
          <w:rFonts w:ascii="宋体" w:hAnsi="宋体"/>
          <w:color w:val="000000"/>
          <w:kern w:val="0"/>
          <w:highlight w:val="none"/>
        </w:rPr>
      </w:pPr>
      <w:r>
        <w:rPr>
          <w:rFonts w:hint="eastAsia" w:ascii="宋体" w:hAnsi="宋体"/>
          <w:color w:val="000000"/>
          <w:kern w:val="0"/>
          <w:highlight w:val="none"/>
        </w:rPr>
        <w:t>网址：</w:t>
      </w:r>
      <w:r>
        <w:rPr>
          <w:rFonts w:hint="eastAsia" w:ascii="宋体" w:hAnsi="宋体"/>
          <w:color w:val="000000"/>
          <w:kern w:val="0"/>
          <w:highlight w:val="none"/>
          <w:u w:val="single"/>
        </w:rPr>
        <w:t xml:space="preserve">                               </w:t>
      </w:r>
    </w:p>
    <w:p>
      <w:pPr>
        <w:shd w:val="clear" w:fill="auto"/>
        <w:autoSpaceDE w:val="0"/>
        <w:autoSpaceDN w:val="0"/>
        <w:adjustRightInd w:val="0"/>
        <w:spacing w:line="360" w:lineRule="auto"/>
        <w:ind w:left="3360" w:leftChars="1600"/>
        <w:jc w:val="left"/>
        <w:rPr>
          <w:rFonts w:ascii="宋体" w:hAnsi="宋体"/>
          <w:color w:val="000000"/>
          <w:kern w:val="0"/>
          <w:highlight w:val="none"/>
        </w:rPr>
      </w:pPr>
      <w:r>
        <w:rPr>
          <w:rFonts w:hint="eastAsia" w:ascii="宋体" w:hAnsi="宋体"/>
          <w:color w:val="000000"/>
          <w:kern w:val="0"/>
          <w:highlight w:val="none"/>
        </w:rPr>
        <w:t>电话：</w:t>
      </w:r>
      <w:r>
        <w:rPr>
          <w:rFonts w:hint="eastAsia" w:ascii="宋体" w:hAnsi="宋体"/>
          <w:color w:val="000000"/>
          <w:kern w:val="0"/>
          <w:highlight w:val="none"/>
          <w:u w:val="single"/>
        </w:rPr>
        <w:t xml:space="preserve">                               </w:t>
      </w:r>
    </w:p>
    <w:p>
      <w:pPr>
        <w:shd w:val="clear" w:fill="auto"/>
        <w:autoSpaceDE w:val="0"/>
        <w:autoSpaceDN w:val="0"/>
        <w:adjustRightInd w:val="0"/>
        <w:spacing w:line="360" w:lineRule="auto"/>
        <w:ind w:left="3360" w:leftChars="1600"/>
        <w:jc w:val="left"/>
        <w:rPr>
          <w:rFonts w:ascii="宋体" w:hAnsi="宋体"/>
          <w:color w:val="000000"/>
          <w:kern w:val="0"/>
          <w:highlight w:val="none"/>
        </w:rPr>
      </w:pPr>
      <w:r>
        <w:rPr>
          <w:rFonts w:hint="eastAsia" w:ascii="宋体" w:hAnsi="宋体"/>
          <w:color w:val="000000"/>
          <w:kern w:val="0"/>
          <w:highlight w:val="none"/>
        </w:rPr>
        <w:t>传真：</w:t>
      </w:r>
      <w:r>
        <w:rPr>
          <w:rFonts w:hint="eastAsia" w:ascii="宋体" w:hAnsi="宋体"/>
          <w:color w:val="000000"/>
          <w:kern w:val="0"/>
          <w:highlight w:val="none"/>
          <w:u w:val="single"/>
        </w:rPr>
        <w:t xml:space="preserve">                               </w:t>
      </w:r>
    </w:p>
    <w:p>
      <w:pPr>
        <w:shd w:val="clear" w:fill="auto"/>
        <w:autoSpaceDE w:val="0"/>
        <w:autoSpaceDN w:val="0"/>
        <w:adjustRightInd w:val="0"/>
        <w:spacing w:line="360" w:lineRule="auto"/>
        <w:ind w:left="3360" w:leftChars="1600"/>
        <w:jc w:val="left"/>
        <w:rPr>
          <w:rFonts w:hint="eastAsia" w:ascii="宋体" w:hAnsi="宋体"/>
          <w:color w:val="000000"/>
          <w:kern w:val="0"/>
          <w:highlight w:val="none"/>
          <w:u w:val="single"/>
        </w:rPr>
      </w:pPr>
      <w:r>
        <w:rPr>
          <w:rFonts w:hint="eastAsia" w:ascii="宋体" w:hAnsi="宋体"/>
          <w:color w:val="000000"/>
          <w:kern w:val="0"/>
          <w:highlight w:val="none"/>
        </w:rPr>
        <w:t>邮政编码：</w:t>
      </w:r>
      <w:r>
        <w:rPr>
          <w:rFonts w:hint="eastAsia" w:ascii="宋体" w:hAnsi="宋体"/>
          <w:color w:val="000000"/>
          <w:kern w:val="0"/>
          <w:highlight w:val="none"/>
          <w:u w:val="single"/>
        </w:rPr>
        <w:t xml:space="preserve">                               </w:t>
      </w:r>
    </w:p>
    <w:p>
      <w:pPr>
        <w:shd w:val="clear" w:fill="auto"/>
        <w:autoSpaceDE w:val="0"/>
        <w:autoSpaceDN w:val="0"/>
        <w:adjustRightInd w:val="0"/>
        <w:spacing w:line="360" w:lineRule="auto"/>
        <w:ind w:left="3360" w:leftChars="1600" w:firstLine="1155" w:firstLineChars="550"/>
        <w:jc w:val="left"/>
        <w:rPr>
          <w:rFonts w:ascii="宋体" w:hAnsi="宋体"/>
          <w:color w:val="000000"/>
          <w:kern w:val="0"/>
          <w:highlight w:val="none"/>
          <w:u w:val="single"/>
        </w:rPr>
      </w:pPr>
      <w:r>
        <w:rPr>
          <w:rFonts w:hint="eastAsia" w:ascii="宋体" w:hAnsi="宋体"/>
          <w:color w:val="000000"/>
          <w:kern w:val="0"/>
          <w:highlight w:val="none"/>
          <w:u w:val="single"/>
        </w:rPr>
        <w:t xml:space="preserve">     </w:t>
      </w:r>
      <w:r>
        <w:rPr>
          <w:rFonts w:hint="eastAsia" w:ascii="宋体" w:hAnsi="宋体"/>
          <w:color w:val="000000"/>
          <w:kern w:val="0"/>
          <w:highlight w:val="none"/>
          <w:u w:val="single"/>
          <w:lang w:val="en-US" w:eastAsia="zh-CN"/>
        </w:rPr>
        <w:t xml:space="preserve">   </w:t>
      </w:r>
      <w:r>
        <w:rPr>
          <w:rFonts w:hint="eastAsia" w:ascii="宋体" w:hAnsi="宋体"/>
          <w:color w:val="000000"/>
          <w:kern w:val="0"/>
          <w:highlight w:val="none"/>
          <w:u w:val="none"/>
        </w:rPr>
        <w:t>年</w:t>
      </w:r>
      <w:r>
        <w:rPr>
          <w:rFonts w:hint="eastAsia" w:ascii="宋体" w:hAnsi="宋体"/>
          <w:color w:val="000000"/>
          <w:kern w:val="0"/>
          <w:highlight w:val="none"/>
          <w:u w:val="single"/>
        </w:rPr>
        <w:t xml:space="preserve">       </w:t>
      </w:r>
      <w:r>
        <w:rPr>
          <w:rFonts w:hint="eastAsia" w:ascii="宋体" w:hAnsi="宋体"/>
          <w:color w:val="000000"/>
          <w:kern w:val="0"/>
          <w:highlight w:val="none"/>
          <w:u w:val="none"/>
        </w:rPr>
        <w:t>月</w:t>
      </w:r>
      <w:r>
        <w:rPr>
          <w:rFonts w:hint="eastAsia" w:ascii="宋体" w:hAnsi="宋体"/>
          <w:color w:val="000000"/>
          <w:kern w:val="0"/>
          <w:highlight w:val="none"/>
          <w:u w:val="single"/>
        </w:rPr>
        <w:t xml:space="preserve">         </w:t>
      </w:r>
      <w:r>
        <w:rPr>
          <w:rFonts w:hint="eastAsia" w:ascii="宋体" w:hAnsi="宋体"/>
          <w:color w:val="000000"/>
          <w:kern w:val="0"/>
          <w:highlight w:val="none"/>
          <w:u w:val="none"/>
        </w:rPr>
        <w:t>日</w:t>
      </w:r>
    </w:p>
    <w:p>
      <w:pPr>
        <w:numPr>
          <w:ilvl w:val="0"/>
          <w:numId w:val="0"/>
        </w:numPr>
        <w:shd w:val="clear" w:fill="auto"/>
        <w:autoSpaceDE w:val="0"/>
        <w:autoSpaceDN w:val="0"/>
        <w:adjustRightInd w:val="0"/>
        <w:spacing w:line="360" w:lineRule="auto"/>
        <w:ind w:left="2310" w:leftChars="0"/>
        <w:jc w:val="both"/>
        <w:rPr>
          <w:rFonts w:ascii="宋体" w:hAnsi="宋体"/>
          <w:color w:val="000000"/>
          <w:kern w:val="0"/>
          <w:sz w:val="24"/>
          <w:highlight w:val="none"/>
        </w:rPr>
      </w:pPr>
    </w:p>
    <w:p>
      <w:pPr>
        <w:shd w:val="clear"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hd w:val="clear" w:fill="auto"/>
        <w:autoSpaceDE w:val="0"/>
        <w:autoSpaceDN w:val="0"/>
        <w:adjustRightInd w:val="0"/>
        <w:spacing w:line="360" w:lineRule="auto"/>
        <w:jc w:val="center"/>
        <w:rPr>
          <w:rFonts w:hint="eastAsia" w:ascii="宋体" w:hAnsi="宋体" w:eastAsia="宋体" w:cs="宋体"/>
          <w:color w:val="auto"/>
          <w:kern w:val="0"/>
          <w:sz w:val="21"/>
          <w:szCs w:val="20"/>
          <w:highlight w:val="none"/>
        </w:rPr>
      </w:pPr>
      <w:r>
        <w:rPr>
          <w:rFonts w:hint="eastAsia" w:ascii="宋体" w:hAnsi="宋体" w:eastAsia="宋体" w:cs="宋体"/>
          <w:color w:val="auto"/>
          <w:sz w:val="24"/>
          <w:highlight w:val="none"/>
        </w:rPr>
        <w:t>（二）投标函附录</w:t>
      </w:r>
    </w:p>
    <w:tbl>
      <w:tblPr>
        <w:tblStyle w:val="56"/>
        <w:tblW w:w="90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1537"/>
        <w:gridCol w:w="360"/>
        <w:gridCol w:w="778"/>
        <w:gridCol w:w="1797"/>
        <w:gridCol w:w="1347"/>
        <w:gridCol w:w="15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607" w:type="dxa"/>
            <w:vAlign w:val="bottom"/>
          </w:tcPr>
          <w:p>
            <w:pPr>
              <w:widowControl w:val="0"/>
              <w:shd w:val="clear" w:fill="auto"/>
              <w:kinsoku/>
              <w:autoSpaceDE/>
              <w:autoSpaceDN/>
              <w:adjustRightInd/>
              <w:snapToGrid/>
              <w:spacing w:line="360" w:lineRule="auto"/>
              <w:jc w:val="center"/>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项目名称</w:t>
            </w:r>
          </w:p>
        </w:tc>
        <w:tc>
          <w:tcPr>
            <w:tcW w:w="7406" w:type="dxa"/>
            <w:gridSpan w:val="6"/>
            <w:vAlign w:val="top"/>
          </w:tcPr>
          <w:p>
            <w:pPr>
              <w:shd w:val="clear" w:fill="auto"/>
              <w:rPr>
                <w:rFonts w:ascii="Arial"/>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607" w:type="dxa"/>
            <w:vAlign w:val="bottom"/>
          </w:tcPr>
          <w:p>
            <w:pPr>
              <w:widowControl w:val="0"/>
              <w:shd w:val="clear" w:fill="auto"/>
              <w:kinsoku/>
              <w:autoSpaceDE/>
              <w:autoSpaceDN/>
              <w:adjustRightInd/>
              <w:snapToGrid/>
              <w:spacing w:line="360" w:lineRule="auto"/>
              <w:jc w:val="center"/>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投标人</w:t>
            </w:r>
          </w:p>
        </w:tc>
        <w:tc>
          <w:tcPr>
            <w:tcW w:w="7406" w:type="dxa"/>
            <w:gridSpan w:val="6"/>
            <w:vAlign w:val="top"/>
          </w:tcPr>
          <w:p>
            <w:pPr>
              <w:shd w:val="clear" w:fill="auto"/>
              <w:rPr>
                <w:rFonts w:ascii="Arial"/>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07" w:type="dxa"/>
            <w:vAlign w:val="bottom"/>
          </w:tcPr>
          <w:p>
            <w:pPr>
              <w:widowControl w:val="0"/>
              <w:shd w:val="clear" w:fill="auto"/>
              <w:kinsoku/>
              <w:autoSpaceDE/>
              <w:autoSpaceDN/>
              <w:adjustRightInd/>
              <w:snapToGrid/>
              <w:spacing w:line="360" w:lineRule="auto"/>
              <w:jc w:val="center"/>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项目经理</w:t>
            </w:r>
          </w:p>
        </w:tc>
        <w:tc>
          <w:tcPr>
            <w:tcW w:w="1537" w:type="dxa"/>
            <w:vAlign w:val="top"/>
          </w:tcPr>
          <w:p>
            <w:pPr>
              <w:shd w:val="clear" w:fill="auto"/>
              <w:rPr>
                <w:rFonts w:ascii="Arial"/>
                <w:sz w:val="21"/>
                <w:szCs w:val="21"/>
                <w:highlight w:val="none"/>
              </w:rPr>
            </w:pPr>
          </w:p>
        </w:tc>
        <w:tc>
          <w:tcPr>
            <w:tcW w:w="1138" w:type="dxa"/>
            <w:gridSpan w:val="2"/>
            <w:vAlign w:val="bottom"/>
          </w:tcPr>
          <w:p>
            <w:pPr>
              <w:widowControl w:val="0"/>
              <w:shd w:val="clear" w:fill="auto"/>
              <w:kinsoku/>
              <w:autoSpaceDE/>
              <w:autoSpaceDN/>
              <w:adjustRightInd/>
              <w:snapToGrid/>
              <w:spacing w:line="360" w:lineRule="auto"/>
              <w:jc w:val="center"/>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级别</w:t>
            </w:r>
          </w:p>
        </w:tc>
        <w:tc>
          <w:tcPr>
            <w:tcW w:w="1797" w:type="dxa"/>
            <w:vAlign w:val="center"/>
          </w:tcPr>
          <w:p>
            <w:pPr>
              <w:widowControl w:val="0"/>
              <w:shd w:val="clear" w:fill="auto"/>
              <w:kinsoku/>
              <w:autoSpaceDE/>
              <w:autoSpaceDN/>
              <w:adjustRightInd/>
              <w:snapToGrid/>
              <w:spacing w:line="360" w:lineRule="auto"/>
              <w:jc w:val="center"/>
              <w:textAlignment w:val="auto"/>
              <w:rPr>
                <w:rFonts w:hint="eastAsia" w:ascii="宋体" w:hAnsi="宋体" w:eastAsia="宋体" w:cs="宋体"/>
                <w:snapToGrid/>
                <w:color w:val="auto"/>
                <w:kern w:val="2"/>
                <w:szCs w:val="21"/>
                <w:highlight w:val="none"/>
                <w:lang w:val="en-US" w:eastAsia="zh-CN"/>
              </w:rPr>
            </w:pPr>
          </w:p>
        </w:tc>
        <w:tc>
          <w:tcPr>
            <w:tcW w:w="1347" w:type="dxa"/>
            <w:vAlign w:val="center"/>
          </w:tcPr>
          <w:p>
            <w:pPr>
              <w:widowControl w:val="0"/>
              <w:shd w:val="clear" w:fill="auto"/>
              <w:kinsoku/>
              <w:autoSpaceDE/>
              <w:autoSpaceDN/>
              <w:adjustRightInd/>
              <w:snapToGrid/>
              <w:spacing w:line="360" w:lineRule="auto"/>
              <w:jc w:val="center"/>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证书编号</w:t>
            </w:r>
          </w:p>
        </w:tc>
        <w:tc>
          <w:tcPr>
            <w:tcW w:w="1587" w:type="dxa"/>
            <w:vAlign w:val="top"/>
          </w:tcPr>
          <w:p>
            <w:pPr>
              <w:shd w:val="clear" w:fill="auto"/>
              <w:rPr>
                <w:rFonts w:ascii="Arial"/>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3504" w:type="dxa"/>
            <w:gridSpan w:val="3"/>
            <w:vAlign w:val="center"/>
          </w:tcPr>
          <w:p>
            <w:pPr>
              <w:pStyle w:val="57"/>
              <w:keepNext w:val="0"/>
              <w:keepLines w:val="0"/>
              <w:pageBreakBefore w:val="0"/>
              <w:widowControl w:val="0"/>
              <w:shd w:val="clear" w:fill="auto"/>
              <w:kinsoku/>
              <w:wordWrap/>
              <w:overflowPunct/>
              <w:topLinePunct w:val="0"/>
              <w:autoSpaceDE/>
              <w:autoSpaceDN/>
              <w:bidi w:val="0"/>
              <w:adjustRightInd/>
              <w:snapToGrid/>
              <w:spacing w:line="228" w:lineRule="auto"/>
              <w:ind w:left="0"/>
              <w:jc w:val="center"/>
              <w:textAlignment w:val="auto"/>
              <w:rPr>
                <w:rFonts w:hint="eastAsia" w:ascii="宋体" w:hAnsi="宋体" w:eastAsia="宋体" w:cs="宋体"/>
                <w:spacing w:val="2"/>
                <w:sz w:val="21"/>
                <w:szCs w:val="21"/>
                <w:highlight w:val="none"/>
                <w:lang w:eastAsia="zh-CN"/>
              </w:rPr>
            </w:pPr>
            <w:r>
              <w:rPr>
                <w:rFonts w:hint="eastAsia" w:ascii="宋体" w:hAnsi="宋体" w:eastAsia="宋体" w:cs="宋体"/>
                <w:spacing w:val="2"/>
                <w:sz w:val="21"/>
                <w:szCs w:val="21"/>
                <w:highlight w:val="none"/>
                <w:lang w:eastAsia="zh-CN"/>
              </w:rPr>
              <w:t>工</w:t>
            </w:r>
            <w:r>
              <w:rPr>
                <w:rFonts w:hint="eastAsia" w:ascii="宋体" w:hAnsi="宋体" w:eastAsia="宋体" w:cs="宋体"/>
                <w:spacing w:val="2"/>
                <w:sz w:val="21"/>
                <w:szCs w:val="21"/>
                <w:highlight w:val="none"/>
                <w:lang w:val="en-US" w:eastAsia="zh-CN"/>
              </w:rPr>
              <w:t xml:space="preserve"> </w:t>
            </w:r>
            <w:r>
              <w:rPr>
                <w:rFonts w:hint="eastAsia" w:ascii="宋体" w:hAnsi="宋体" w:eastAsia="宋体" w:cs="宋体"/>
                <w:spacing w:val="2"/>
                <w:sz w:val="21"/>
                <w:szCs w:val="21"/>
                <w:highlight w:val="none"/>
                <w:lang w:eastAsia="zh-CN"/>
              </w:rPr>
              <w:t>期(日历天)</w:t>
            </w:r>
          </w:p>
        </w:tc>
        <w:tc>
          <w:tcPr>
            <w:tcW w:w="5509" w:type="dxa"/>
            <w:gridSpan w:val="4"/>
            <w:vAlign w:val="top"/>
          </w:tcPr>
          <w:p>
            <w:pPr>
              <w:shd w:val="clear" w:fill="auto"/>
              <w:rPr>
                <w:rFonts w:ascii="Arial"/>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3504" w:type="dxa"/>
            <w:gridSpan w:val="3"/>
            <w:vAlign w:val="center"/>
          </w:tcPr>
          <w:p>
            <w:pPr>
              <w:pStyle w:val="57"/>
              <w:keepNext w:val="0"/>
              <w:keepLines w:val="0"/>
              <w:pageBreakBefore w:val="0"/>
              <w:widowControl w:val="0"/>
              <w:shd w:val="clear" w:fill="auto"/>
              <w:kinsoku/>
              <w:wordWrap/>
              <w:overflowPunct/>
              <w:topLinePunct w:val="0"/>
              <w:autoSpaceDE/>
              <w:autoSpaceDN/>
              <w:bidi w:val="0"/>
              <w:adjustRightInd/>
              <w:snapToGrid/>
              <w:spacing w:line="228" w:lineRule="auto"/>
              <w:ind w:left="0"/>
              <w:jc w:val="center"/>
              <w:textAlignment w:val="auto"/>
              <w:rPr>
                <w:rFonts w:hint="eastAsia" w:ascii="宋体" w:hAnsi="宋体" w:eastAsia="宋体" w:cs="宋体"/>
                <w:spacing w:val="2"/>
                <w:sz w:val="21"/>
                <w:szCs w:val="21"/>
                <w:highlight w:val="none"/>
                <w:lang w:eastAsia="zh-CN"/>
              </w:rPr>
            </w:pPr>
            <w:r>
              <w:rPr>
                <w:rFonts w:hint="eastAsia" w:ascii="宋体" w:hAnsi="宋体" w:eastAsia="宋体" w:cs="宋体"/>
                <w:spacing w:val="2"/>
                <w:sz w:val="21"/>
                <w:szCs w:val="21"/>
                <w:highlight w:val="none"/>
                <w:lang w:eastAsia="zh-CN"/>
              </w:rPr>
              <w:t>投标总标价</w:t>
            </w:r>
          </w:p>
        </w:tc>
        <w:tc>
          <w:tcPr>
            <w:tcW w:w="5509" w:type="dxa"/>
            <w:gridSpan w:val="4"/>
            <w:vAlign w:val="center"/>
          </w:tcPr>
          <w:p>
            <w:pPr>
              <w:pStyle w:val="57"/>
              <w:keepNext w:val="0"/>
              <w:keepLines w:val="0"/>
              <w:pageBreakBefore w:val="0"/>
              <w:widowControl w:val="0"/>
              <w:shd w:val="clear" w:fill="auto"/>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pacing w:val="2"/>
                <w:sz w:val="21"/>
                <w:szCs w:val="21"/>
                <w:highlight w:val="none"/>
                <w:lang w:eastAsia="zh-CN"/>
              </w:rPr>
            </w:pPr>
            <w:r>
              <w:rPr>
                <w:rFonts w:hint="eastAsia" w:ascii="宋体" w:hAnsi="宋体" w:eastAsia="宋体" w:cs="宋体"/>
                <w:spacing w:val="2"/>
                <w:sz w:val="21"/>
                <w:szCs w:val="21"/>
                <w:highlight w:val="none"/>
                <w:lang w:eastAsia="zh-CN"/>
              </w:rPr>
              <w:t>大写：</w:t>
            </w:r>
          </w:p>
          <w:p>
            <w:pPr>
              <w:pStyle w:val="57"/>
              <w:keepNext w:val="0"/>
              <w:keepLines w:val="0"/>
              <w:pageBreakBefore w:val="0"/>
              <w:widowControl w:val="0"/>
              <w:shd w:val="clear" w:fill="auto"/>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pacing w:val="2"/>
                <w:sz w:val="21"/>
                <w:szCs w:val="21"/>
                <w:highlight w:val="none"/>
                <w:lang w:eastAsia="zh-CN"/>
              </w:rPr>
            </w:pPr>
            <w:r>
              <w:rPr>
                <w:rFonts w:hint="eastAsia" w:ascii="宋体" w:hAnsi="宋体" w:eastAsia="宋体" w:cs="宋体"/>
                <w:spacing w:val="2"/>
                <w:sz w:val="21"/>
                <w:szCs w:val="21"/>
                <w:highlight w:val="none"/>
                <w:lang w:eastAsia="zh-CN"/>
              </w:rPr>
              <w:t>小写：           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exact"/>
        </w:trPr>
        <w:tc>
          <w:tcPr>
            <w:tcW w:w="3504" w:type="dxa"/>
            <w:gridSpan w:val="3"/>
            <w:vAlign w:val="top"/>
          </w:tcPr>
          <w:p>
            <w:pPr>
              <w:pStyle w:val="47"/>
              <w:keepNext w:val="0"/>
              <w:keepLines w:val="0"/>
              <w:pageBreakBefore w:val="0"/>
              <w:widowControl w:val="0"/>
              <w:shd w:val="clear" w:fill="auto"/>
              <w:tabs>
                <w:tab w:val="left" w:pos="1280"/>
              </w:tabs>
              <w:kinsoku/>
              <w:wordWrap/>
              <w:overflowPunct/>
              <w:topLinePunct w:val="0"/>
              <w:autoSpaceDE/>
              <w:autoSpaceDN/>
              <w:bidi w:val="0"/>
              <w:adjustRightInd/>
              <w:snapToGrid/>
              <w:spacing w:after="0" w:afterLines="0" w:line="360" w:lineRule="exact"/>
              <w:ind w:left="0" w:firstLine="0" w:firstLineChars="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评标报价</w:t>
            </w:r>
          </w:p>
          <w:p>
            <w:pPr>
              <w:pStyle w:val="47"/>
              <w:keepNext w:val="0"/>
              <w:keepLines w:val="0"/>
              <w:pageBreakBefore w:val="0"/>
              <w:widowControl w:val="0"/>
              <w:shd w:val="clear" w:fill="auto"/>
              <w:tabs>
                <w:tab w:val="left" w:pos="1280"/>
              </w:tabs>
              <w:kinsoku/>
              <w:wordWrap/>
              <w:overflowPunct/>
              <w:topLinePunct w:val="0"/>
              <w:autoSpaceDE/>
              <w:autoSpaceDN/>
              <w:bidi w:val="0"/>
              <w:adjustRightInd/>
              <w:snapToGrid/>
              <w:spacing w:after="0" w:afterLines="0" w:line="360" w:lineRule="exact"/>
              <w:ind w:left="0" w:firstLine="0" w:firstLineChars="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(=投标总报价-规费-税金-安全文明施工措施费-暂列金额-专业暂估价)</w:t>
            </w:r>
          </w:p>
        </w:tc>
        <w:tc>
          <w:tcPr>
            <w:tcW w:w="5509" w:type="dxa"/>
            <w:gridSpan w:val="4"/>
            <w:vAlign w:val="center"/>
          </w:tcPr>
          <w:p>
            <w:pPr>
              <w:pStyle w:val="57"/>
              <w:keepNext w:val="0"/>
              <w:keepLines w:val="0"/>
              <w:pageBreakBefore w:val="0"/>
              <w:widowControl w:val="0"/>
              <w:shd w:val="clear" w:fill="auto"/>
              <w:kinsoku/>
              <w:wordWrap/>
              <w:overflowPunct/>
              <w:topLinePunct w:val="0"/>
              <w:autoSpaceDE/>
              <w:autoSpaceDN/>
              <w:bidi w:val="0"/>
              <w:adjustRightInd/>
              <w:snapToGrid/>
              <w:spacing w:line="440" w:lineRule="exact"/>
              <w:ind w:left="0"/>
              <w:jc w:val="both"/>
              <w:textAlignment w:val="auto"/>
              <w:rPr>
                <w:rFonts w:ascii="宋体" w:hAnsi="宋体" w:eastAsia="宋体" w:cs="宋体"/>
                <w:spacing w:val="2"/>
                <w:sz w:val="21"/>
                <w:szCs w:val="21"/>
                <w:highlight w:val="none"/>
              </w:rPr>
            </w:pPr>
            <w:r>
              <w:rPr>
                <w:rFonts w:ascii="宋体" w:hAnsi="宋体" w:eastAsia="宋体" w:cs="宋体"/>
                <w:spacing w:val="2"/>
                <w:sz w:val="21"/>
                <w:szCs w:val="21"/>
                <w:highlight w:val="none"/>
              </w:rPr>
              <w:t>大写：</w:t>
            </w:r>
          </w:p>
          <w:p>
            <w:pPr>
              <w:pStyle w:val="57"/>
              <w:keepNext w:val="0"/>
              <w:keepLines w:val="0"/>
              <w:pageBreakBefore w:val="0"/>
              <w:widowControl w:val="0"/>
              <w:shd w:val="clear" w:fill="auto"/>
              <w:kinsoku/>
              <w:wordWrap/>
              <w:overflowPunct/>
              <w:topLinePunct w:val="0"/>
              <w:autoSpaceDE/>
              <w:autoSpaceDN/>
              <w:bidi w:val="0"/>
              <w:adjustRightInd/>
              <w:snapToGrid/>
              <w:spacing w:line="440" w:lineRule="exact"/>
              <w:ind w:left="0"/>
              <w:jc w:val="both"/>
              <w:textAlignment w:val="auto"/>
              <w:rPr>
                <w:rFonts w:ascii="宋体" w:hAnsi="宋体" w:eastAsia="宋体" w:cs="宋体"/>
                <w:spacing w:val="2"/>
                <w:sz w:val="21"/>
                <w:szCs w:val="21"/>
                <w:highlight w:val="none"/>
              </w:rPr>
            </w:pPr>
            <w:r>
              <w:rPr>
                <w:rFonts w:ascii="宋体" w:hAnsi="宋体" w:eastAsia="宋体" w:cs="宋体"/>
                <w:spacing w:val="2"/>
                <w:sz w:val="21"/>
                <w:szCs w:val="21"/>
                <w:highlight w:val="none"/>
              </w:rPr>
              <w:t>小写：           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3504" w:type="dxa"/>
            <w:gridSpan w:val="3"/>
            <w:vAlign w:val="center"/>
          </w:tcPr>
          <w:p>
            <w:pPr>
              <w:pStyle w:val="47"/>
              <w:keepNext w:val="0"/>
              <w:keepLines w:val="0"/>
              <w:pageBreakBefore w:val="0"/>
              <w:widowControl w:val="0"/>
              <w:shd w:val="clear" w:fill="auto"/>
              <w:tabs>
                <w:tab w:val="left" w:pos="1280"/>
              </w:tabs>
              <w:kinsoku/>
              <w:wordWrap/>
              <w:overflowPunct/>
              <w:topLinePunct w:val="0"/>
              <w:autoSpaceDE/>
              <w:autoSpaceDN/>
              <w:bidi w:val="0"/>
              <w:adjustRightInd/>
              <w:snapToGrid/>
              <w:spacing w:after="0" w:afterLines="0" w:line="360" w:lineRule="auto"/>
              <w:ind w:left="0" w:firstLine="0" w:firstLineChars="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规费</w:t>
            </w:r>
          </w:p>
        </w:tc>
        <w:tc>
          <w:tcPr>
            <w:tcW w:w="5509" w:type="dxa"/>
            <w:gridSpan w:val="4"/>
            <w:vAlign w:val="center"/>
          </w:tcPr>
          <w:p>
            <w:pPr>
              <w:pStyle w:val="57"/>
              <w:keepNext w:val="0"/>
              <w:keepLines w:val="0"/>
              <w:pageBreakBefore w:val="0"/>
              <w:widowControl w:val="0"/>
              <w:shd w:val="clear" w:fill="auto"/>
              <w:kinsoku/>
              <w:wordWrap/>
              <w:overflowPunct/>
              <w:topLinePunct w:val="0"/>
              <w:autoSpaceDE/>
              <w:autoSpaceDN/>
              <w:bidi w:val="0"/>
              <w:adjustRightInd/>
              <w:snapToGrid/>
              <w:spacing w:line="440" w:lineRule="exact"/>
              <w:ind w:left="0"/>
              <w:jc w:val="both"/>
              <w:textAlignment w:val="auto"/>
              <w:rPr>
                <w:sz w:val="21"/>
                <w:szCs w:val="21"/>
                <w:highlight w:val="none"/>
              </w:rPr>
            </w:pPr>
            <w:r>
              <w:rPr>
                <w:spacing w:val="2"/>
                <w:sz w:val="21"/>
                <w:szCs w:val="21"/>
                <w:highlight w:val="none"/>
              </w:rPr>
              <w:t>大写：</w:t>
            </w:r>
          </w:p>
          <w:p>
            <w:pPr>
              <w:pStyle w:val="57"/>
              <w:keepNext w:val="0"/>
              <w:keepLines w:val="0"/>
              <w:pageBreakBefore w:val="0"/>
              <w:widowControl w:val="0"/>
              <w:shd w:val="clear" w:fill="auto"/>
              <w:kinsoku/>
              <w:wordWrap/>
              <w:overflowPunct/>
              <w:topLinePunct w:val="0"/>
              <w:autoSpaceDE/>
              <w:autoSpaceDN/>
              <w:bidi w:val="0"/>
              <w:adjustRightInd/>
              <w:snapToGrid/>
              <w:spacing w:line="440" w:lineRule="exact"/>
              <w:ind w:left="0"/>
              <w:jc w:val="both"/>
              <w:textAlignment w:val="auto"/>
              <w:rPr>
                <w:sz w:val="21"/>
                <w:szCs w:val="21"/>
                <w:highlight w:val="none"/>
              </w:rPr>
            </w:pPr>
            <w:r>
              <w:rPr>
                <w:sz w:val="21"/>
                <w:szCs w:val="21"/>
                <w:highlight w:val="none"/>
              </w:rPr>
              <w:t>小写：</w:t>
            </w:r>
            <w:r>
              <w:rPr>
                <w:spacing w:val="4"/>
                <w:sz w:val="21"/>
                <w:szCs w:val="21"/>
                <w:highlight w:val="none"/>
              </w:rPr>
              <w:t xml:space="preserve">           </w:t>
            </w:r>
            <w:r>
              <w:rPr>
                <w:sz w:val="21"/>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3504" w:type="dxa"/>
            <w:gridSpan w:val="3"/>
            <w:vAlign w:val="center"/>
          </w:tcPr>
          <w:p>
            <w:pPr>
              <w:pStyle w:val="57"/>
              <w:shd w:val="clear" w:fill="auto"/>
              <w:spacing w:before="65" w:line="228" w:lineRule="auto"/>
              <w:ind w:left="1525"/>
              <w:jc w:val="both"/>
              <w:rPr>
                <w:sz w:val="21"/>
                <w:szCs w:val="21"/>
                <w:highlight w:val="none"/>
              </w:rPr>
            </w:pPr>
            <w:r>
              <w:rPr>
                <w:spacing w:val="4"/>
                <w:sz w:val="21"/>
                <w:szCs w:val="21"/>
                <w:highlight w:val="none"/>
              </w:rPr>
              <w:t>税金</w:t>
            </w:r>
          </w:p>
        </w:tc>
        <w:tc>
          <w:tcPr>
            <w:tcW w:w="5509" w:type="dxa"/>
            <w:gridSpan w:val="4"/>
            <w:vAlign w:val="center"/>
          </w:tcPr>
          <w:p>
            <w:pPr>
              <w:pStyle w:val="57"/>
              <w:keepNext w:val="0"/>
              <w:keepLines w:val="0"/>
              <w:pageBreakBefore w:val="0"/>
              <w:widowControl w:val="0"/>
              <w:shd w:val="clear" w:fill="auto"/>
              <w:kinsoku/>
              <w:wordWrap/>
              <w:overflowPunct/>
              <w:topLinePunct w:val="0"/>
              <w:autoSpaceDE/>
              <w:autoSpaceDN/>
              <w:bidi w:val="0"/>
              <w:adjustRightInd/>
              <w:snapToGrid/>
              <w:spacing w:line="440" w:lineRule="exact"/>
              <w:ind w:left="0"/>
              <w:jc w:val="both"/>
              <w:textAlignment w:val="auto"/>
              <w:rPr>
                <w:sz w:val="21"/>
                <w:szCs w:val="21"/>
                <w:highlight w:val="none"/>
              </w:rPr>
            </w:pPr>
            <w:r>
              <w:rPr>
                <w:spacing w:val="2"/>
                <w:sz w:val="21"/>
                <w:szCs w:val="21"/>
                <w:highlight w:val="none"/>
              </w:rPr>
              <w:t>大写：</w:t>
            </w:r>
          </w:p>
          <w:p>
            <w:pPr>
              <w:pStyle w:val="57"/>
              <w:keepNext w:val="0"/>
              <w:keepLines w:val="0"/>
              <w:pageBreakBefore w:val="0"/>
              <w:widowControl w:val="0"/>
              <w:shd w:val="clear" w:fill="auto"/>
              <w:kinsoku/>
              <w:wordWrap/>
              <w:overflowPunct/>
              <w:topLinePunct w:val="0"/>
              <w:autoSpaceDE/>
              <w:autoSpaceDN/>
              <w:bidi w:val="0"/>
              <w:adjustRightInd/>
              <w:snapToGrid/>
              <w:spacing w:line="440" w:lineRule="exact"/>
              <w:ind w:left="0"/>
              <w:jc w:val="both"/>
              <w:textAlignment w:val="auto"/>
              <w:rPr>
                <w:sz w:val="21"/>
                <w:szCs w:val="21"/>
                <w:highlight w:val="none"/>
              </w:rPr>
            </w:pPr>
            <w:r>
              <w:rPr>
                <w:sz w:val="21"/>
                <w:szCs w:val="21"/>
                <w:highlight w:val="none"/>
              </w:rPr>
              <w:t>小写：</w:t>
            </w:r>
            <w:r>
              <w:rPr>
                <w:spacing w:val="4"/>
                <w:sz w:val="21"/>
                <w:szCs w:val="21"/>
                <w:highlight w:val="none"/>
              </w:rPr>
              <w:t xml:space="preserve">           </w:t>
            </w:r>
            <w:r>
              <w:rPr>
                <w:sz w:val="21"/>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3504" w:type="dxa"/>
            <w:gridSpan w:val="3"/>
            <w:vAlign w:val="center"/>
          </w:tcPr>
          <w:p>
            <w:pPr>
              <w:shd w:val="clear" w:fill="auto"/>
              <w:spacing w:line="275" w:lineRule="auto"/>
              <w:jc w:val="center"/>
              <w:rPr>
                <w:rFonts w:ascii="Arial"/>
                <w:sz w:val="21"/>
                <w:szCs w:val="21"/>
                <w:highlight w:val="none"/>
              </w:rPr>
            </w:pPr>
            <w:r>
              <w:rPr>
                <w:rFonts w:ascii="Arial"/>
                <w:sz w:val="21"/>
                <w:szCs w:val="21"/>
                <w:highlight w:val="none"/>
              </w:rPr>
              <w:t>安全文明施工措施费</w:t>
            </w:r>
          </w:p>
        </w:tc>
        <w:tc>
          <w:tcPr>
            <w:tcW w:w="5509" w:type="dxa"/>
            <w:gridSpan w:val="4"/>
            <w:vAlign w:val="center"/>
          </w:tcPr>
          <w:p>
            <w:pPr>
              <w:pStyle w:val="57"/>
              <w:keepNext w:val="0"/>
              <w:keepLines w:val="0"/>
              <w:pageBreakBefore w:val="0"/>
              <w:widowControl w:val="0"/>
              <w:shd w:val="clear" w:fill="auto"/>
              <w:kinsoku/>
              <w:wordWrap/>
              <w:overflowPunct/>
              <w:topLinePunct w:val="0"/>
              <w:autoSpaceDE/>
              <w:autoSpaceDN/>
              <w:bidi w:val="0"/>
              <w:adjustRightInd/>
              <w:snapToGrid/>
              <w:spacing w:line="440" w:lineRule="exact"/>
              <w:ind w:left="0"/>
              <w:jc w:val="both"/>
              <w:textAlignment w:val="auto"/>
              <w:rPr>
                <w:sz w:val="21"/>
                <w:szCs w:val="21"/>
                <w:highlight w:val="none"/>
              </w:rPr>
            </w:pPr>
            <w:r>
              <w:rPr>
                <w:spacing w:val="2"/>
                <w:sz w:val="21"/>
                <w:szCs w:val="21"/>
                <w:highlight w:val="none"/>
              </w:rPr>
              <w:t>大写：</w:t>
            </w:r>
          </w:p>
          <w:p>
            <w:pPr>
              <w:pStyle w:val="57"/>
              <w:keepNext w:val="0"/>
              <w:keepLines w:val="0"/>
              <w:pageBreakBefore w:val="0"/>
              <w:widowControl w:val="0"/>
              <w:shd w:val="clear" w:fill="auto"/>
              <w:kinsoku/>
              <w:wordWrap/>
              <w:overflowPunct/>
              <w:topLinePunct w:val="0"/>
              <w:autoSpaceDE/>
              <w:autoSpaceDN/>
              <w:bidi w:val="0"/>
              <w:adjustRightInd/>
              <w:snapToGrid/>
              <w:spacing w:line="440" w:lineRule="exact"/>
              <w:ind w:left="0"/>
              <w:jc w:val="both"/>
              <w:textAlignment w:val="auto"/>
              <w:rPr>
                <w:sz w:val="21"/>
                <w:szCs w:val="21"/>
                <w:highlight w:val="none"/>
              </w:rPr>
            </w:pPr>
            <w:r>
              <w:rPr>
                <w:sz w:val="21"/>
                <w:szCs w:val="21"/>
                <w:highlight w:val="none"/>
              </w:rPr>
              <w:t>小写：</w:t>
            </w:r>
            <w:r>
              <w:rPr>
                <w:spacing w:val="4"/>
                <w:sz w:val="21"/>
                <w:szCs w:val="21"/>
                <w:highlight w:val="none"/>
              </w:rPr>
              <w:t xml:space="preserve">           </w:t>
            </w:r>
            <w:r>
              <w:rPr>
                <w:sz w:val="21"/>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3504" w:type="dxa"/>
            <w:gridSpan w:val="3"/>
            <w:vAlign w:val="center"/>
          </w:tcPr>
          <w:p>
            <w:pPr>
              <w:shd w:val="clear" w:fill="auto"/>
              <w:spacing w:line="275" w:lineRule="auto"/>
              <w:jc w:val="center"/>
              <w:rPr>
                <w:rFonts w:ascii="Arial"/>
                <w:sz w:val="21"/>
                <w:szCs w:val="21"/>
                <w:highlight w:val="none"/>
              </w:rPr>
            </w:pPr>
            <w:r>
              <w:rPr>
                <w:rFonts w:ascii="Arial"/>
                <w:sz w:val="21"/>
                <w:szCs w:val="21"/>
                <w:highlight w:val="none"/>
              </w:rPr>
              <w:t>暂列金额</w:t>
            </w:r>
          </w:p>
        </w:tc>
        <w:tc>
          <w:tcPr>
            <w:tcW w:w="5509" w:type="dxa"/>
            <w:gridSpan w:val="4"/>
            <w:vAlign w:val="center"/>
          </w:tcPr>
          <w:p>
            <w:pPr>
              <w:pStyle w:val="57"/>
              <w:keepNext w:val="0"/>
              <w:keepLines w:val="0"/>
              <w:pageBreakBefore w:val="0"/>
              <w:widowControl w:val="0"/>
              <w:shd w:val="clear" w:fill="auto"/>
              <w:kinsoku/>
              <w:wordWrap/>
              <w:overflowPunct/>
              <w:topLinePunct w:val="0"/>
              <w:autoSpaceDE/>
              <w:autoSpaceDN/>
              <w:bidi w:val="0"/>
              <w:adjustRightInd/>
              <w:snapToGrid/>
              <w:spacing w:line="440" w:lineRule="exact"/>
              <w:ind w:left="0"/>
              <w:jc w:val="both"/>
              <w:textAlignment w:val="auto"/>
              <w:rPr>
                <w:sz w:val="21"/>
                <w:szCs w:val="21"/>
                <w:highlight w:val="none"/>
              </w:rPr>
            </w:pPr>
            <w:r>
              <w:rPr>
                <w:spacing w:val="2"/>
                <w:sz w:val="21"/>
                <w:szCs w:val="21"/>
                <w:highlight w:val="none"/>
              </w:rPr>
              <w:t>大写：</w:t>
            </w:r>
          </w:p>
          <w:p>
            <w:pPr>
              <w:pStyle w:val="57"/>
              <w:keepNext w:val="0"/>
              <w:keepLines w:val="0"/>
              <w:pageBreakBefore w:val="0"/>
              <w:widowControl w:val="0"/>
              <w:shd w:val="clear" w:fill="auto"/>
              <w:kinsoku/>
              <w:wordWrap/>
              <w:overflowPunct/>
              <w:topLinePunct w:val="0"/>
              <w:autoSpaceDE/>
              <w:autoSpaceDN/>
              <w:bidi w:val="0"/>
              <w:adjustRightInd/>
              <w:snapToGrid/>
              <w:spacing w:line="440" w:lineRule="exact"/>
              <w:ind w:left="0" w:leftChars="0"/>
              <w:jc w:val="both"/>
              <w:textAlignment w:val="auto"/>
              <w:rPr>
                <w:sz w:val="21"/>
                <w:szCs w:val="21"/>
                <w:highlight w:val="none"/>
              </w:rPr>
            </w:pPr>
            <w:r>
              <w:rPr>
                <w:sz w:val="21"/>
                <w:szCs w:val="21"/>
                <w:highlight w:val="none"/>
              </w:rPr>
              <w:t>小写：</w:t>
            </w:r>
            <w:r>
              <w:rPr>
                <w:spacing w:val="4"/>
                <w:sz w:val="21"/>
                <w:szCs w:val="21"/>
                <w:highlight w:val="none"/>
              </w:rPr>
              <w:t xml:space="preserve">           </w:t>
            </w:r>
            <w:r>
              <w:rPr>
                <w:sz w:val="21"/>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3504" w:type="dxa"/>
            <w:gridSpan w:val="3"/>
            <w:vAlign w:val="center"/>
          </w:tcPr>
          <w:p>
            <w:pPr>
              <w:shd w:val="clear" w:fill="auto"/>
              <w:spacing w:line="275" w:lineRule="auto"/>
              <w:jc w:val="center"/>
              <w:rPr>
                <w:rFonts w:ascii="Arial"/>
                <w:sz w:val="21"/>
                <w:szCs w:val="21"/>
                <w:highlight w:val="none"/>
              </w:rPr>
            </w:pPr>
            <w:r>
              <w:rPr>
                <w:rFonts w:ascii="Arial"/>
                <w:sz w:val="21"/>
                <w:szCs w:val="21"/>
                <w:highlight w:val="none"/>
              </w:rPr>
              <w:t>专业暂估价</w:t>
            </w:r>
          </w:p>
        </w:tc>
        <w:tc>
          <w:tcPr>
            <w:tcW w:w="5509" w:type="dxa"/>
            <w:gridSpan w:val="4"/>
            <w:vAlign w:val="center"/>
          </w:tcPr>
          <w:p>
            <w:pPr>
              <w:pStyle w:val="57"/>
              <w:keepNext w:val="0"/>
              <w:keepLines w:val="0"/>
              <w:pageBreakBefore w:val="0"/>
              <w:widowControl w:val="0"/>
              <w:shd w:val="clear" w:fill="auto"/>
              <w:kinsoku/>
              <w:wordWrap/>
              <w:overflowPunct/>
              <w:topLinePunct w:val="0"/>
              <w:autoSpaceDE/>
              <w:autoSpaceDN/>
              <w:bidi w:val="0"/>
              <w:adjustRightInd/>
              <w:snapToGrid/>
              <w:spacing w:line="440" w:lineRule="exact"/>
              <w:ind w:left="0"/>
              <w:jc w:val="both"/>
              <w:textAlignment w:val="auto"/>
              <w:rPr>
                <w:spacing w:val="2"/>
                <w:sz w:val="21"/>
                <w:szCs w:val="21"/>
                <w:highlight w:val="none"/>
              </w:rPr>
            </w:pPr>
            <w:r>
              <w:rPr>
                <w:spacing w:val="2"/>
                <w:sz w:val="21"/>
                <w:szCs w:val="21"/>
                <w:highlight w:val="none"/>
              </w:rPr>
              <w:t>大写：</w:t>
            </w:r>
          </w:p>
          <w:p>
            <w:pPr>
              <w:pStyle w:val="57"/>
              <w:keepNext w:val="0"/>
              <w:keepLines w:val="0"/>
              <w:pageBreakBefore w:val="0"/>
              <w:widowControl w:val="0"/>
              <w:shd w:val="clear" w:fill="auto"/>
              <w:kinsoku/>
              <w:wordWrap/>
              <w:overflowPunct/>
              <w:topLinePunct w:val="0"/>
              <w:autoSpaceDE/>
              <w:autoSpaceDN/>
              <w:bidi w:val="0"/>
              <w:adjustRightInd/>
              <w:snapToGrid/>
              <w:spacing w:line="440" w:lineRule="exact"/>
              <w:ind w:left="0"/>
              <w:jc w:val="both"/>
              <w:textAlignment w:val="auto"/>
              <w:rPr>
                <w:spacing w:val="2"/>
                <w:sz w:val="21"/>
                <w:szCs w:val="21"/>
                <w:highlight w:val="none"/>
              </w:rPr>
            </w:pPr>
            <w:r>
              <w:rPr>
                <w:spacing w:val="2"/>
                <w:sz w:val="21"/>
                <w:szCs w:val="21"/>
                <w:highlight w:val="none"/>
              </w:rPr>
              <w:t>小写：           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exact"/>
        </w:trPr>
        <w:tc>
          <w:tcPr>
            <w:tcW w:w="3504" w:type="dxa"/>
            <w:gridSpan w:val="3"/>
            <w:vAlign w:val="center"/>
          </w:tcPr>
          <w:p>
            <w:pPr>
              <w:pStyle w:val="47"/>
              <w:keepNext w:val="0"/>
              <w:keepLines w:val="0"/>
              <w:pageBreakBefore w:val="0"/>
              <w:widowControl w:val="0"/>
              <w:shd w:val="clear" w:fill="auto"/>
              <w:tabs>
                <w:tab w:val="left" w:pos="1280"/>
              </w:tabs>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措施项目费用合计(元)</w:t>
            </w:r>
          </w:p>
          <w:p>
            <w:pPr>
              <w:pStyle w:val="47"/>
              <w:keepNext w:val="0"/>
              <w:keepLines w:val="0"/>
              <w:pageBreakBefore w:val="0"/>
              <w:widowControl w:val="0"/>
              <w:shd w:val="clear" w:fill="auto"/>
              <w:tabs>
                <w:tab w:val="left" w:pos="1280"/>
              </w:tabs>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(不含安全文明施工措施费)</w:t>
            </w:r>
          </w:p>
        </w:tc>
        <w:tc>
          <w:tcPr>
            <w:tcW w:w="5509" w:type="dxa"/>
            <w:gridSpan w:val="4"/>
            <w:vAlign w:val="center"/>
          </w:tcPr>
          <w:p>
            <w:pPr>
              <w:pStyle w:val="57"/>
              <w:keepNext w:val="0"/>
              <w:keepLines w:val="0"/>
              <w:pageBreakBefore w:val="0"/>
              <w:widowControl w:val="0"/>
              <w:shd w:val="clear" w:fill="auto"/>
              <w:kinsoku/>
              <w:wordWrap/>
              <w:overflowPunct/>
              <w:topLinePunct w:val="0"/>
              <w:autoSpaceDE/>
              <w:autoSpaceDN/>
              <w:bidi w:val="0"/>
              <w:adjustRightInd/>
              <w:snapToGrid/>
              <w:spacing w:line="440" w:lineRule="exact"/>
              <w:ind w:left="0"/>
              <w:jc w:val="both"/>
              <w:textAlignment w:val="auto"/>
              <w:rPr>
                <w:spacing w:val="2"/>
                <w:sz w:val="21"/>
                <w:szCs w:val="21"/>
                <w:highlight w:val="none"/>
              </w:rPr>
            </w:pPr>
            <w:r>
              <w:rPr>
                <w:spacing w:val="2"/>
                <w:sz w:val="21"/>
                <w:szCs w:val="21"/>
                <w:highlight w:val="none"/>
              </w:rPr>
              <w:t>大写：</w:t>
            </w:r>
          </w:p>
          <w:p>
            <w:pPr>
              <w:pStyle w:val="57"/>
              <w:keepNext w:val="0"/>
              <w:keepLines w:val="0"/>
              <w:pageBreakBefore w:val="0"/>
              <w:widowControl w:val="0"/>
              <w:shd w:val="clear" w:fill="auto"/>
              <w:kinsoku/>
              <w:wordWrap/>
              <w:overflowPunct/>
              <w:topLinePunct w:val="0"/>
              <w:autoSpaceDE/>
              <w:autoSpaceDN/>
              <w:bidi w:val="0"/>
              <w:adjustRightInd/>
              <w:snapToGrid/>
              <w:spacing w:line="440" w:lineRule="exact"/>
              <w:ind w:left="0"/>
              <w:jc w:val="both"/>
              <w:textAlignment w:val="auto"/>
              <w:rPr>
                <w:spacing w:val="2"/>
                <w:sz w:val="21"/>
                <w:szCs w:val="21"/>
                <w:highlight w:val="none"/>
              </w:rPr>
            </w:pPr>
            <w:r>
              <w:rPr>
                <w:spacing w:val="2"/>
                <w:sz w:val="21"/>
                <w:szCs w:val="21"/>
                <w:highlight w:val="none"/>
              </w:rPr>
              <w:t>小写：           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3504" w:type="dxa"/>
            <w:gridSpan w:val="3"/>
            <w:vAlign w:val="center"/>
          </w:tcPr>
          <w:p>
            <w:pPr>
              <w:keepNext w:val="0"/>
              <w:keepLines w:val="0"/>
              <w:pageBreakBefore w:val="0"/>
              <w:widowControl w:val="0"/>
              <w:shd w:val="clear" w:fill="auto"/>
              <w:kinsoku/>
              <w:wordWrap/>
              <w:overflowPunct/>
              <w:topLinePunct w:val="0"/>
              <w:autoSpaceDE/>
              <w:autoSpaceDN/>
              <w:bidi w:val="0"/>
              <w:adjustRightInd/>
              <w:snapToGrid/>
              <w:spacing w:line="440" w:lineRule="exact"/>
              <w:jc w:val="center"/>
              <w:textAlignment w:val="auto"/>
              <w:rPr>
                <w:rFonts w:hint="eastAsia" w:ascii="Arial" w:hAnsi="Times New Roman" w:eastAsia="宋体" w:cs="Times New Roman"/>
                <w:sz w:val="21"/>
                <w:szCs w:val="21"/>
                <w:highlight w:val="none"/>
                <w:lang w:val="en-US" w:eastAsia="zh-CN"/>
              </w:rPr>
            </w:pPr>
            <w:r>
              <w:rPr>
                <w:rFonts w:hint="eastAsia" w:ascii="Arial" w:hAnsi="Times New Roman" w:eastAsia="宋体" w:cs="Times New Roman"/>
                <w:sz w:val="21"/>
                <w:szCs w:val="21"/>
                <w:highlight w:val="none"/>
                <w:lang w:val="en-US" w:eastAsia="zh-CN"/>
              </w:rPr>
              <w:t>质量要求</w:t>
            </w:r>
          </w:p>
        </w:tc>
        <w:tc>
          <w:tcPr>
            <w:tcW w:w="5509" w:type="dxa"/>
            <w:gridSpan w:val="4"/>
            <w:vAlign w:val="top"/>
          </w:tcPr>
          <w:p>
            <w:pPr>
              <w:shd w:val="clear" w:fill="auto"/>
              <w:rPr>
                <w:rFonts w:ascii="Arial"/>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3504" w:type="dxa"/>
            <w:gridSpan w:val="3"/>
            <w:vAlign w:val="top"/>
          </w:tcPr>
          <w:p>
            <w:pPr>
              <w:keepNext w:val="0"/>
              <w:keepLines w:val="0"/>
              <w:pageBreakBefore w:val="0"/>
              <w:widowControl w:val="0"/>
              <w:shd w:val="clear" w:fill="auto"/>
              <w:kinsoku/>
              <w:wordWrap/>
              <w:overflowPunct/>
              <w:topLinePunct w:val="0"/>
              <w:autoSpaceDE/>
              <w:autoSpaceDN/>
              <w:bidi w:val="0"/>
              <w:adjustRightInd/>
              <w:snapToGrid/>
              <w:spacing w:line="440" w:lineRule="exact"/>
              <w:jc w:val="center"/>
              <w:textAlignment w:val="auto"/>
              <w:rPr>
                <w:rFonts w:ascii="Arial" w:hAnsi="Times New Roman" w:eastAsia="宋体" w:cs="Times New Roman"/>
                <w:sz w:val="21"/>
                <w:szCs w:val="21"/>
                <w:highlight w:val="none"/>
              </w:rPr>
            </w:pPr>
            <w:r>
              <w:rPr>
                <w:rFonts w:ascii="Arial" w:hAnsi="Times New Roman" w:eastAsia="宋体" w:cs="Times New Roman"/>
                <w:sz w:val="21"/>
                <w:szCs w:val="21"/>
                <w:highlight w:val="none"/>
              </w:rPr>
              <w:t>投标有效期</w:t>
            </w:r>
          </w:p>
        </w:tc>
        <w:tc>
          <w:tcPr>
            <w:tcW w:w="5509" w:type="dxa"/>
            <w:gridSpan w:val="4"/>
            <w:vAlign w:val="top"/>
          </w:tcPr>
          <w:p>
            <w:pPr>
              <w:shd w:val="clear" w:fill="auto"/>
              <w:rPr>
                <w:rFonts w:ascii="Arial"/>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3504" w:type="dxa"/>
            <w:gridSpan w:val="3"/>
            <w:vAlign w:val="top"/>
          </w:tcPr>
          <w:p>
            <w:pPr>
              <w:keepNext w:val="0"/>
              <w:keepLines w:val="0"/>
              <w:pageBreakBefore w:val="0"/>
              <w:widowControl w:val="0"/>
              <w:shd w:val="clear" w:fill="auto"/>
              <w:kinsoku/>
              <w:wordWrap/>
              <w:overflowPunct/>
              <w:topLinePunct w:val="0"/>
              <w:autoSpaceDE/>
              <w:autoSpaceDN/>
              <w:bidi w:val="0"/>
              <w:adjustRightInd/>
              <w:snapToGrid/>
              <w:spacing w:line="440" w:lineRule="exact"/>
              <w:jc w:val="center"/>
              <w:textAlignment w:val="auto"/>
              <w:rPr>
                <w:rFonts w:ascii="Arial" w:hAnsi="Times New Roman" w:eastAsia="宋体" w:cs="Times New Roman"/>
                <w:sz w:val="21"/>
                <w:szCs w:val="21"/>
                <w:highlight w:val="none"/>
              </w:rPr>
            </w:pPr>
            <w:r>
              <w:rPr>
                <w:rFonts w:hint="eastAsia" w:ascii="宋体" w:hAnsi="宋体" w:eastAsia="宋体" w:cs="宋体"/>
                <w:color w:val="auto"/>
                <w:kern w:val="0"/>
                <w:sz w:val="21"/>
                <w:szCs w:val="21"/>
                <w:highlight w:val="none"/>
              </w:rPr>
              <w:t>质保期（养护期）</w:t>
            </w:r>
          </w:p>
        </w:tc>
        <w:tc>
          <w:tcPr>
            <w:tcW w:w="5509" w:type="dxa"/>
            <w:gridSpan w:val="4"/>
            <w:vAlign w:val="top"/>
          </w:tcPr>
          <w:p>
            <w:pPr>
              <w:shd w:val="clear" w:fill="auto"/>
              <w:rPr>
                <w:rFonts w:ascii="Arial"/>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3504" w:type="dxa"/>
            <w:gridSpan w:val="3"/>
            <w:vAlign w:val="top"/>
          </w:tcPr>
          <w:p>
            <w:pPr>
              <w:keepNext w:val="0"/>
              <w:keepLines w:val="0"/>
              <w:pageBreakBefore w:val="0"/>
              <w:widowControl w:val="0"/>
              <w:shd w:val="clear"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000000"/>
                <w:sz w:val="21"/>
                <w:szCs w:val="21"/>
                <w:highlight w:val="none"/>
              </w:rPr>
              <w:t>安全管理目标</w:t>
            </w:r>
          </w:p>
        </w:tc>
        <w:tc>
          <w:tcPr>
            <w:tcW w:w="5509" w:type="dxa"/>
            <w:gridSpan w:val="4"/>
            <w:vAlign w:val="top"/>
          </w:tcPr>
          <w:p>
            <w:pPr>
              <w:shd w:val="clear" w:fill="auto"/>
              <w:rPr>
                <w:rFonts w:ascii="Arial"/>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3504" w:type="dxa"/>
            <w:gridSpan w:val="3"/>
            <w:vAlign w:val="center"/>
          </w:tcPr>
          <w:p>
            <w:pPr>
              <w:pStyle w:val="57"/>
              <w:shd w:val="clear" w:fill="auto"/>
              <w:spacing w:before="65" w:line="229" w:lineRule="auto"/>
              <w:ind w:left="1528"/>
              <w:jc w:val="both"/>
              <w:rPr>
                <w:sz w:val="21"/>
                <w:szCs w:val="21"/>
                <w:highlight w:val="none"/>
              </w:rPr>
            </w:pPr>
            <w:r>
              <w:rPr>
                <w:spacing w:val="7"/>
                <w:sz w:val="21"/>
                <w:szCs w:val="21"/>
                <w:highlight w:val="none"/>
              </w:rPr>
              <w:t>备注</w:t>
            </w:r>
          </w:p>
        </w:tc>
        <w:tc>
          <w:tcPr>
            <w:tcW w:w="5509" w:type="dxa"/>
            <w:gridSpan w:val="4"/>
            <w:vAlign w:val="top"/>
          </w:tcPr>
          <w:p>
            <w:pPr>
              <w:shd w:val="clear" w:fill="auto"/>
              <w:rPr>
                <w:rFonts w:ascii="Arial"/>
                <w:sz w:val="21"/>
                <w:szCs w:val="21"/>
                <w:highlight w:val="none"/>
              </w:rPr>
            </w:pPr>
          </w:p>
        </w:tc>
      </w:tr>
    </w:tbl>
    <w:p>
      <w:pPr>
        <w:widowControl/>
        <w:shd w:val="clear" w:fill="auto"/>
        <w:autoSpaceDE w:val="0"/>
        <w:autoSpaceDN w:val="0"/>
        <w:spacing w:line="360" w:lineRule="auto"/>
        <w:ind w:firstLine="403"/>
        <w:jc w:val="right"/>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投标人：</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w:t>
      </w:r>
      <w:r>
        <w:rPr>
          <w:rFonts w:hint="eastAsia" w:ascii="宋体" w:hAnsi="宋体" w:cs="宋体"/>
          <w:color w:val="auto"/>
          <w:kern w:val="0"/>
          <w:sz w:val="21"/>
          <w:szCs w:val="20"/>
          <w:highlight w:val="none"/>
          <w:lang w:eastAsia="zh-CN"/>
        </w:rPr>
        <w:t>单位盖章</w:t>
      </w:r>
      <w:r>
        <w:rPr>
          <w:rFonts w:hint="eastAsia" w:ascii="宋体" w:hAnsi="宋体" w:eastAsia="宋体" w:cs="宋体"/>
          <w:color w:val="auto"/>
          <w:kern w:val="0"/>
          <w:sz w:val="21"/>
          <w:szCs w:val="20"/>
          <w:highlight w:val="none"/>
        </w:rPr>
        <w:t>）</w:t>
      </w:r>
    </w:p>
    <w:p>
      <w:pPr>
        <w:widowControl/>
        <w:shd w:val="clear" w:fill="auto"/>
        <w:autoSpaceDE w:val="0"/>
        <w:autoSpaceDN w:val="0"/>
        <w:spacing w:line="360" w:lineRule="auto"/>
        <w:ind w:firstLine="403"/>
        <w:jc w:val="right"/>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法定代表人或其委托代理人：</w:t>
      </w:r>
      <w:r>
        <w:rPr>
          <w:rFonts w:hint="eastAsia" w:ascii="宋体" w:hAnsi="宋体" w:eastAsia="宋体" w:cs="宋体"/>
          <w:color w:val="auto"/>
          <w:kern w:val="2"/>
          <w:sz w:val="21"/>
          <w:szCs w:val="20"/>
          <w:highlight w:val="none"/>
          <w:u w:val="single"/>
        </w:rPr>
        <w:t xml:space="preserve">          </w:t>
      </w:r>
      <w:r>
        <w:rPr>
          <w:rFonts w:hint="eastAsia" w:ascii="宋体" w:hAnsi="宋体" w:eastAsia="宋体" w:cs="宋体"/>
          <w:color w:val="auto"/>
          <w:kern w:val="2"/>
          <w:sz w:val="21"/>
          <w:szCs w:val="20"/>
          <w:highlight w:val="none"/>
        </w:rPr>
        <w:t>（签字</w:t>
      </w:r>
      <w:r>
        <w:rPr>
          <w:rFonts w:hint="eastAsia" w:ascii="宋体" w:hAnsi="宋体" w:eastAsia="宋体" w:cs="宋体"/>
          <w:color w:val="auto"/>
          <w:kern w:val="2"/>
          <w:sz w:val="21"/>
          <w:szCs w:val="20"/>
          <w:highlight w:val="none"/>
          <w:lang w:val="en-US" w:eastAsia="zh-CN"/>
        </w:rPr>
        <w:t>或个人电子签章</w:t>
      </w:r>
      <w:r>
        <w:rPr>
          <w:rFonts w:hint="eastAsia" w:ascii="宋体" w:hAnsi="宋体" w:eastAsia="宋体" w:cs="宋体"/>
          <w:color w:val="auto"/>
          <w:kern w:val="2"/>
          <w:sz w:val="21"/>
          <w:szCs w:val="20"/>
          <w:highlight w:val="none"/>
        </w:rPr>
        <w:t>）</w:t>
      </w:r>
    </w:p>
    <w:p>
      <w:pPr>
        <w:shd w:val="clear" w:fill="FFFFFF" w:themeFill="background1"/>
        <w:autoSpaceDE w:val="0"/>
        <w:autoSpaceDN w:val="0"/>
        <w:spacing w:line="360" w:lineRule="auto"/>
        <w:ind w:firstLine="403"/>
        <w:jc w:val="right"/>
        <w:rPr>
          <w:rFonts w:hint="eastAsia" w:ascii="宋体" w:hAnsi="宋体" w:eastAsia="宋体" w:cs="宋体"/>
          <w:color w:val="auto"/>
          <w:kern w:val="2"/>
          <w:sz w:val="21"/>
          <w:highlight w:val="none"/>
        </w:rPr>
        <w:sectPr>
          <w:footerReference r:id="rId15" w:type="first"/>
          <w:headerReference r:id="rId13" w:type="default"/>
          <w:footerReference r:id="rId14" w:type="default"/>
          <w:pgSz w:w="11905" w:h="16838"/>
          <w:pgMar w:top="1247" w:right="1247" w:bottom="1247" w:left="1247" w:header="850" w:footer="992" w:gutter="0"/>
          <w:pgNumType w:fmt="decimal"/>
          <w:cols w:space="0" w:num="1"/>
          <w:titlePg/>
          <w:rtlGutter w:val="0"/>
          <w:docGrid w:type="lines" w:linePitch="319" w:charSpace="0"/>
        </w:sectPr>
      </w:pP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年</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月</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日</w:t>
      </w:r>
    </w:p>
    <w:p>
      <w:pPr>
        <w:pStyle w:val="4"/>
        <w:shd w:val="clear" w:fill="auto"/>
        <w:jc w:val="center"/>
        <w:outlineLvl w:val="2"/>
        <w:rPr>
          <w:rFonts w:hint="eastAsia" w:ascii="宋体" w:hAnsi="宋体" w:eastAsia="宋体" w:cs="宋体"/>
          <w:highlight w:val="none"/>
        </w:rPr>
      </w:pPr>
      <w:bookmarkStart w:id="861" w:name="_Toc4939"/>
      <w:bookmarkStart w:id="862" w:name="_Toc22839"/>
      <w:bookmarkStart w:id="863" w:name="_Toc16094"/>
      <w:bookmarkStart w:id="864" w:name="_Toc18161"/>
      <w:r>
        <w:rPr>
          <w:rFonts w:hint="eastAsia" w:ascii="宋体" w:hAnsi="宋体" w:eastAsia="宋体" w:cs="宋体"/>
          <w:highlight w:val="none"/>
        </w:rPr>
        <w:t>二、法定代表人身份证明及授权委托书</w:t>
      </w:r>
      <w:bookmarkEnd w:id="861"/>
      <w:bookmarkEnd w:id="862"/>
      <w:bookmarkEnd w:id="863"/>
      <w:bookmarkEnd w:id="864"/>
    </w:p>
    <w:p>
      <w:pPr>
        <w:shd w:val="clear" w:fill="auto"/>
        <w:autoSpaceDE w:val="0"/>
        <w:autoSpaceDN w:val="0"/>
        <w:adjustRightInd w:val="0"/>
        <w:spacing w:line="360" w:lineRule="auto"/>
        <w:jc w:val="center"/>
        <w:rPr>
          <w:rFonts w:hint="eastAsia" w:ascii="宋体" w:hAnsi="宋体" w:cs="宋体"/>
          <w:b/>
          <w:sz w:val="24"/>
          <w:szCs w:val="22"/>
          <w:highlight w:val="none"/>
        </w:rPr>
      </w:pPr>
      <w:r>
        <w:rPr>
          <w:rFonts w:hint="eastAsia" w:ascii="宋体" w:hAnsi="宋体" w:cs="宋体"/>
          <w:b/>
          <w:sz w:val="24"/>
          <w:szCs w:val="22"/>
          <w:highlight w:val="none"/>
        </w:rPr>
        <w:t>（一）法定代表人身份证明</w:t>
      </w:r>
    </w:p>
    <w:p>
      <w:pPr>
        <w:shd w:val="clear" w:fill="auto"/>
        <w:autoSpaceDE w:val="0"/>
        <w:autoSpaceDN w:val="0"/>
        <w:adjustRightInd w:val="0"/>
        <w:spacing w:line="360" w:lineRule="auto"/>
        <w:ind w:firstLine="403" w:firstLineChars="192"/>
        <w:jc w:val="left"/>
        <w:rPr>
          <w:rFonts w:hint="eastAsia" w:ascii="宋体" w:hAnsi="宋体"/>
          <w:color w:val="000000"/>
          <w:kern w:val="0"/>
          <w:highlight w:val="none"/>
        </w:rPr>
      </w:pPr>
    </w:p>
    <w:p>
      <w:pPr>
        <w:shd w:val="clear" w:fill="auto"/>
        <w:autoSpaceDE w:val="0"/>
        <w:autoSpaceDN w:val="0"/>
        <w:adjustRightInd w:val="0"/>
        <w:spacing w:line="360" w:lineRule="auto"/>
        <w:ind w:firstLine="403" w:firstLineChars="192"/>
        <w:jc w:val="left"/>
        <w:rPr>
          <w:rFonts w:ascii="宋体" w:hAnsi="宋体"/>
          <w:color w:val="000000"/>
          <w:kern w:val="0"/>
          <w:highlight w:val="none"/>
        </w:rPr>
      </w:pPr>
      <w:r>
        <w:rPr>
          <w:rFonts w:hint="eastAsia" w:ascii="宋体" w:hAnsi="宋体"/>
          <w:color w:val="000000"/>
          <w:kern w:val="0"/>
          <w:highlight w:val="none"/>
        </w:rPr>
        <w:t>投标人名称：</w:t>
      </w:r>
      <w:r>
        <w:rPr>
          <w:rFonts w:hint="eastAsia" w:ascii="宋体" w:hAnsi="宋体"/>
          <w:color w:val="000000"/>
          <w:kern w:val="0"/>
          <w:highlight w:val="none"/>
          <w:u w:val="single"/>
        </w:rPr>
        <w:t xml:space="preserve">                             </w:t>
      </w:r>
    </w:p>
    <w:p>
      <w:pPr>
        <w:shd w:val="clear" w:fill="auto"/>
        <w:autoSpaceDE w:val="0"/>
        <w:autoSpaceDN w:val="0"/>
        <w:adjustRightInd w:val="0"/>
        <w:spacing w:line="360" w:lineRule="auto"/>
        <w:ind w:firstLine="403" w:firstLineChars="192"/>
        <w:jc w:val="left"/>
        <w:rPr>
          <w:rFonts w:ascii="宋体" w:hAnsi="宋体"/>
          <w:color w:val="000000"/>
          <w:kern w:val="0"/>
          <w:highlight w:val="none"/>
        </w:rPr>
      </w:pPr>
      <w:r>
        <w:rPr>
          <w:rFonts w:hint="eastAsia" w:ascii="宋体" w:hAnsi="宋体"/>
          <w:color w:val="000000"/>
          <w:kern w:val="0"/>
          <w:highlight w:val="none"/>
        </w:rPr>
        <w:t>单位性质：</w:t>
      </w:r>
      <w:r>
        <w:rPr>
          <w:rFonts w:hint="eastAsia" w:ascii="宋体" w:hAnsi="宋体"/>
          <w:color w:val="000000"/>
          <w:kern w:val="0"/>
          <w:highlight w:val="none"/>
          <w:u w:val="single"/>
        </w:rPr>
        <w:t xml:space="preserve">                               </w:t>
      </w:r>
    </w:p>
    <w:p>
      <w:pPr>
        <w:shd w:val="clear" w:fill="auto"/>
        <w:autoSpaceDE w:val="0"/>
        <w:autoSpaceDN w:val="0"/>
        <w:adjustRightInd w:val="0"/>
        <w:spacing w:line="360" w:lineRule="auto"/>
        <w:ind w:firstLine="403" w:firstLineChars="192"/>
        <w:jc w:val="left"/>
        <w:rPr>
          <w:rFonts w:hint="eastAsia" w:ascii="宋体" w:hAnsi="宋体" w:eastAsia="宋体"/>
          <w:color w:val="000000"/>
          <w:kern w:val="0"/>
          <w:highlight w:val="none"/>
          <w:lang w:val="en-US" w:eastAsia="zh-CN"/>
        </w:rPr>
      </w:pPr>
      <w:r>
        <w:rPr>
          <w:rFonts w:hint="eastAsia" w:ascii="宋体" w:hAnsi="宋体"/>
          <w:color w:val="000000"/>
          <w:kern w:val="0"/>
          <w:highlight w:val="none"/>
        </w:rPr>
        <w:t>地址：</w:t>
      </w:r>
      <w:r>
        <w:rPr>
          <w:rFonts w:hint="eastAsia" w:ascii="宋体" w:hAnsi="宋体"/>
          <w:color w:val="000000"/>
          <w:kern w:val="0"/>
          <w:highlight w:val="none"/>
          <w:u w:val="single"/>
        </w:rPr>
        <w:t xml:space="preserve">                               </w:t>
      </w:r>
      <w:r>
        <w:rPr>
          <w:rFonts w:hint="eastAsia" w:ascii="宋体" w:hAnsi="宋体"/>
          <w:color w:val="000000"/>
          <w:kern w:val="0"/>
          <w:highlight w:val="none"/>
          <w:u w:val="single"/>
          <w:lang w:val="en-US" w:eastAsia="zh-CN"/>
        </w:rPr>
        <w:t xml:space="preserve">    </w:t>
      </w:r>
    </w:p>
    <w:p>
      <w:pPr>
        <w:shd w:val="clear" w:fill="auto"/>
        <w:autoSpaceDE w:val="0"/>
        <w:autoSpaceDN w:val="0"/>
        <w:adjustRightInd w:val="0"/>
        <w:spacing w:line="360" w:lineRule="auto"/>
        <w:ind w:firstLine="403" w:firstLineChars="192"/>
        <w:jc w:val="left"/>
        <w:rPr>
          <w:rFonts w:ascii="宋体" w:hAnsi="宋体"/>
          <w:color w:val="000000"/>
          <w:kern w:val="0"/>
          <w:highlight w:val="none"/>
        </w:rPr>
      </w:pPr>
      <w:r>
        <w:rPr>
          <w:rFonts w:hint="eastAsia" w:ascii="宋体" w:hAnsi="宋体"/>
          <w:color w:val="000000"/>
          <w:kern w:val="0"/>
          <w:highlight w:val="none"/>
        </w:rPr>
        <w:t>成立时间：</w:t>
      </w:r>
      <w:r>
        <w:rPr>
          <w:rFonts w:hint="eastAsia" w:ascii="宋体" w:hAnsi="宋体"/>
          <w:color w:val="000000"/>
          <w:kern w:val="0"/>
          <w:highlight w:val="none"/>
          <w:u w:val="single"/>
        </w:rPr>
        <w:t xml:space="preserve">     </w:t>
      </w:r>
      <w:r>
        <w:rPr>
          <w:rFonts w:hint="eastAsia" w:ascii="宋体" w:hAnsi="宋体"/>
          <w:color w:val="000000"/>
          <w:kern w:val="0"/>
          <w:highlight w:val="none"/>
        </w:rPr>
        <w:t>年</w:t>
      </w:r>
      <w:r>
        <w:rPr>
          <w:rFonts w:hint="eastAsia" w:ascii="宋体" w:hAnsi="宋体"/>
          <w:color w:val="000000"/>
          <w:kern w:val="0"/>
          <w:highlight w:val="none"/>
          <w:u w:val="single"/>
        </w:rPr>
        <w:t xml:space="preserve">     </w:t>
      </w:r>
      <w:r>
        <w:rPr>
          <w:rFonts w:hint="eastAsia" w:ascii="宋体" w:hAnsi="宋体"/>
          <w:color w:val="000000"/>
          <w:kern w:val="0"/>
          <w:highlight w:val="none"/>
        </w:rPr>
        <w:t xml:space="preserve"> 月</w:t>
      </w:r>
      <w:r>
        <w:rPr>
          <w:rFonts w:hint="eastAsia" w:ascii="宋体" w:hAnsi="宋体"/>
          <w:color w:val="000000"/>
          <w:kern w:val="0"/>
          <w:highlight w:val="none"/>
          <w:u w:val="single"/>
        </w:rPr>
        <w:t xml:space="preserve">     </w:t>
      </w:r>
      <w:r>
        <w:rPr>
          <w:rFonts w:hint="eastAsia" w:ascii="宋体" w:hAnsi="宋体"/>
          <w:color w:val="000000"/>
          <w:kern w:val="0"/>
          <w:highlight w:val="none"/>
        </w:rPr>
        <w:t>日</w:t>
      </w:r>
    </w:p>
    <w:p>
      <w:pPr>
        <w:shd w:val="clear" w:fill="auto"/>
        <w:autoSpaceDE w:val="0"/>
        <w:autoSpaceDN w:val="0"/>
        <w:adjustRightInd w:val="0"/>
        <w:spacing w:line="360" w:lineRule="auto"/>
        <w:ind w:firstLine="403" w:firstLineChars="192"/>
        <w:jc w:val="left"/>
        <w:rPr>
          <w:rFonts w:ascii="宋体" w:hAnsi="宋体"/>
          <w:color w:val="000000"/>
          <w:kern w:val="0"/>
          <w:highlight w:val="none"/>
        </w:rPr>
      </w:pPr>
      <w:r>
        <w:rPr>
          <w:rFonts w:hint="eastAsia" w:ascii="宋体" w:hAnsi="宋体"/>
          <w:color w:val="000000"/>
          <w:kern w:val="0"/>
          <w:highlight w:val="none"/>
        </w:rPr>
        <w:t>经营期限：</w:t>
      </w:r>
      <w:r>
        <w:rPr>
          <w:rFonts w:hint="eastAsia" w:ascii="宋体" w:hAnsi="宋体"/>
          <w:color w:val="000000"/>
          <w:kern w:val="0"/>
          <w:highlight w:val="none"/>
          <w:u w:val="single"/>
        </w:rPr>
        <w:t xml:space="preserve">                               </w:t>
      </w:r>
    </w:p>
    <w:p>
      <w:pPr>
        <w:shd w:val="clear" w:fill="auto"/>
        <w:autoSpaceDE w:val="0"/>
        <w:autoSpaceDN w:val="0"/>
        <w:adjustRightInd w:val="0"/>
        <w:spacing w:line="360" w:lineRule="auto"/>
        <w:ind w:firstLine="403" w:firstLineChars="192"/>
        <w:jc w:val="left"/>
        <w:rPr>
          <w:rFonts w:ascii="宋体" w:hAnsi="宋体"/>
          <w:color w:val="000000"/>
          <w:kern w:val="0"/>
          <w:highlight w:val="none"/>
        </w:rPr>
      </w:pPr>
      <w:r>
        <w:rPr>
          <w:rFonts w:hint="eastAsia" w:ascii="宋体" w:hAnsi="宋体"/>
          <w:color w:val="000000"/>
          <w:kern w:val="0"/>
          <w:highlight w:val="none"/>
        </w:rPr>
        <w:t>姓名：</w:t>
      </w:r>
      <w:r>
        <w:rPr>
          <w:rFonts w:hint="eastAsia" w:ascii="宋体" w:hAnsi="宋体"/>
          <w:color w:val="000000"/>
          <w:kern w:val="0"/>
          <w:highlight w:val="none"/>
          <w:u w:val="single"/>
        </w:rPr>
        <w:t xml:space="preserve">     </w:t>
      </w:r>
      <w:r>
        <w:rPr>
          <w:rFonts w:hint="eastAsia" w:ascii="宋体" w:hAnsi="宋体"/>
          <w:color w:val="000000"/>
          <w:kern w:val="0"/>
          <w:highlight w:val="none"/>
        </w:rPr>
        <w:t xml:space="preserve"> 性别：</w:t>
      </w:r>
      <w:r>
        <w:rPr>
          <w:rFonts w:hint="eastAsia" w:ascii="宋体" w:hAnsi="宋体"/>
          <w:color w:val="000000"/>
          <w:kern w:val="0"/>
          <w:highlight w:val="none"/>
          <w:u w:val="single"/>
        </w:rPr>
        <w:t xml:space="preserve">     </w:t>
      </w:r>
      <w:r>
        <w:rPr>
          <w:rFonts w:hint="eastAsia" w:ascii="宋体" w:hAnsi="宋体"/>
          <w:color w:val="000000"/>
          <w:kern w:val="0"/>
          <w:highlight w:val="none"/>
        </w:rPr>
        <w:t xml:space="preserve"> 年龄：</w:t>
      </w:r>
      <w:r>
        <w:rPr>
          <w:rFonts w:hint="eastAsia" w:ascii="宋体" w:hAnsi="宋体"/>
          <w:color w:val="000000"/>
          <w:kern w:val="0"/>
          <w:highlight w:val="none"/>
          <w:u w:val="single"/>
        </w:rPr>
        <w:t xml:space="preserve">     </w:t>
      </w:r>
      <w:r>
        <w:rPr>
          <w:rFonts w:hint="eastAsia" w:ascii="宋体" w:hAnsi="宋体"/>
          <w:color w:val="000000"/>
          <w:kern w:val="0"/>
          <w:highlight w:val="none"/>
        </w:rPr>
        <w:t xml:space="preserve"> 职务：</w:t>
      </w:r>
      <w:r>
        <w:rPr>
          <w:rFonts w:hint="eastAsia" w:ascii="宋体" w:hAnsi="宋体"/>
          <w:color w:val="000000"/>
          <w:kern w:val="0"/>
          <w:highlight w:val="none"/>
          <w:u w:val="single"/>
        </w:rPr>
        <w:t xml:space="preserve">     </w:t>
      </w:r>
    </w:p>
    <w:p>
      <w:pPr>
        <w:shd w:val="clear" w:fill="auto"/>
        <w:autoSpaceDE w:val="0"/>
        <w:autoSpaceDN w:val="0"/>
        <w:adjustRightInd w:val="0"/>
        <w:spacing w:line="360" w:lineRule="auto"/>
        <w:ind w:firstLine="403" w:firstLineChars="192"/>
        <w:jc w:val="left"/>
        <w:rPr>
          <w:rFonts w:ascii="宋体" w:hAnsi="宋体"/>
          <w:color w:val="000000"/>
          <w:kern w:val="0"/>
          <w:highlight w:val="none"/>
        </w:rPr>
      </w:pPr>
      <w:r>
        <w:rPr>
          <w:rFonts w:hint="eastAsia" w:ascii="宋体" w:hAnsi="宋体"/>
          <w:color w:val="000000"/>
          <w:kern w:val="0"/>
          <w:highlight w:val="none"/>
        </w:rPr>
        <w:t>系</w:t>
      </w:r>
      <w:r>
        <w:rPr>
          <w:rFonts w:hint="eastAsia" w:ascii="宋体" w:hAnsi="宋体"/>
          <w:color w:val="000000"/>
          <w:kern w:val="0"/>
          <w:highlight w:val="none"/>
          <w:u w:val="single"/>
        </w:rPr>
        <w:t xml:space="preserve">                               </w:t>
      </w:r>
      <w:r>
        <w:rPr>
          <w:rFonts w:hint="eastAsia" w:ascii="宋体" w:hAnsi="宋体"/>
          <w:color w:val="000000"/>
          <w:kern w:val="0"/>
          <w:highlight w:val="none"/>
        </w:rPr>
        <w:t xml:space="preserve"> （投标人名称）的法定代表人。</w:t>
      </w:r>
    </w:p>
    <w:p>
      <w:pPr>
        <w:shd w:val="clear" w:fill="auto"/>
        <w:autoSpaceDE w:val="0"/>
        <w:autoSpaceDN w:val="0"/>
        <w:adjustRightInd w:val="0"/>
        <w:spacing w:line="360" w:lineRule="auto"/>
        <w:ind w:firstLine="924" w:firstLineChars="440"/>
        <w:jc w:val="left"/>
        <w:rPr>
          <w:rFonts w:ascii="宋体" w:hAnsi="宋体"/>
          <w:color w:val="000000"/>
          <w:kern w:val="0"/>
          <w:highlight w:val="none"/>
        </w:rPr>
      </w:pPr>
      <w:r>
        <w:rPr>
          <w:rFonts w:hint="eastAsia" w:ascii="宋体" w:hAnsi="宋体"/>
          <w:color w:val="000000"/>
          <w:kern w:val="0"/>
          <w:highlight w:val="none"/>
        </w:rPr>
        <w:t>特此证明。</w:t>
      </w:r>
    </w:p>
    <w:p>
      <w:pPr>
        <w:shd w:val="clear" w:fill="auto"/>
        <w:autoSpaceDE w:val="0"/>
        <w:autoSpaceDN w:val="0"/>
        <w:adjustRightInd w:val="0"/>
        <w:spacing w:line="360" w:lineRule="auto"/>
        <w:ind w:firstLine="403" w:firstLineChars="192"/>
        <w:jc w:val="left"/>
        <w:rPr>
          <w:rFonts w:ascii="宋体" w:hAnsi="宋体"/>
          <w:color w:val="000000"/>
          <w:kern w:val="0"/>
          <w:highlight w:val="none"/>
        </w:rPr>
      </w:pPr>
    </w:p>
    <w:p>
      <w:pPr>
        <w:pStyle w:val="9"/>
        <w:widowControl/>
        <w:shd w:val="clear" w:fill="auto"/>
        <w:jc w:val="left"/>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lang w:val="en-US" w:eastAsia="zh-CN"/>
        </w:rPr>
        <w:t>附：</w:t>
      </w:r>
      <w:r>
        <w:rPr>
          <w:rFonts w:hint="eastAsia" w:ascii="宋体" w:hAnsi="宋体" w:eastAsia="宋体" w:cs="宋体"/>
          <w:color w:val="auto"/>
          <w:kern w:val="0"/>
          <w:sz w:val="21"/>
          <w:szCs w:val="20"/>
          <w:highlight w:val="none"/>
        </w:rPr>
        <w:t>法定代表人</w:t>
      </w:r>
      <w:r>
        <w:rPr>
          <w:rFonts w:hint="eastAsia" w:ascii="宋体" w:hAnsi="宋体" w:eastAsia="宋体" w:cs="宋体"/>
          <w:color w:val="auto"/>
          <w:kern w:val="0"/>
          <w:sz w:val="21"/>
          <w:szCs w:val="20"/>
          <w:highlight w:val="none"/>
          <w:lang w:val="en-US" w:eastAsia="zh-CN"/>
        </w:rPr>
        <w:t>身份证明</w:t>
      </w:r>
      <w:r>
        <w:rPr>
          <w:rFonts w:hint="eastAsia" w:ascii="宋体" w:hAnsi="宋体" w:eastAsia="宋体" w:cs="宋体"/>
          <w:color w:val="auto"/>
          <w:kern w:val="0"/>
          <w:sz w:val="21"/>
          <w:szCs w:val="20"/>
          <w:highlight w:val="none"/>
        </w:rPr>
        <w:t>复印件</w:t>
      </w:r>
    </w:p>
    <w:p>
      <w:pPr>
        <w:shd w:val="clear" w:fill="auto"/>
        <w:autoSpaceDE w:val="0"/>
        <w:autoSpaceDN w:val="0"/>
        <w:adjustRightInd w:val="0"/>
        <w:spacing w:line="360" w:lineRule="auto"/>
        <w:ind w:firstLine="403" w:firstLineChars="192"/>
        <w:jc w:val="left"/>
        <w:rPr>
          <w:rFonts w:ascii="宋体" w:hAnsi="宋体"/>
          <w:color w:val="000000"/>
          <w:kern w:val="0"/>
          <w:highlight w:val="none"/>
        </w:rPr>
      </w:pPr>
    </w:p>
    <w:p>
      <w:pPr>
        <w:widowControl/>
        <w:shd w:val="clear" w:fill="auto"/>
        <w:autoSpaceDE w:val="0"/>
        <w:autoSpaceDN w:val="0"/>
        <w:spacing w:line="360" w:lineRule="auto"/>
        <w:ind w:leftChars="2000"/>
        <w:jc w:val="left"/>
        <w:rPr>
          <w:rFonts w:hint="eastAsia" w:ascii="宋体" w:hAnsi="宋体" w:eastAsia="宋体" w:cs="宋体"/>
          <w:color w:val="auto"/>
          <w:kern w:val="2"/>
          <w:sz w:val="21"/>
          <w:szCs w:val="20"/>
          <w:highlight w:val="none"/>
        </w:rPr>
      </w:pPr>
      <w:bookmarkStart w:id="865" w:name="_Toc331006998"/>
      <w:bookmarkStart w:id="866" w:name="_Toc359399426"/>
      <w:r>
        <w:rPr>
          <w:rFonts w:hint="eastAsia" w:ascii="宋体" w:hAnsi="宋体" w:eastAsia="宋体" w:cs="宋体"/>
          <w:color w:val="auto"/>
          <w:kern w:val="0"/>
          <w:sz w:val="21"/>
          <w:szCs w:val="20"/>
          <w:highlight w:val="none"/>
        </w:rPr>
        <w:t>投标人：</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 xml:space="preserve"> （</w:t>
      </w:r>
      <w:r>
        <w:rPr>
          <w:rFonts w:hint="eastAsia" w:ascii="宋体" w:hAnsi="宋体" w:cs="宋体"/>
          <w:color w:val="auto"/>
          <w:kern w:val="0"/>
          <w:sz w:val="21"/>
          <w:szCs w:val="20"/>
          <w:highlight w:val="none"/>
          <w:lang w:eastAsia="zh-CN"/>
        </w:rPr>
        <w:t>单位盖章</w:t>
      </w:r>
      <w:r>
        <w:rPr>
          <w:rFonts w:hint="eastAsia" w:ascii="宋体" w:hAnsi="宋体" w:eastAsia="宋体" w:cs="宋体"/>
          <w:color w:val="auto"/>
          <w:kern w:val="0"/>
          <w:sz w:val="21"/>
          <w:szCs w:val="20"/>
          <w:highlight w:val="none"/>
        </w:rPr>
        <w:t>）</w:t>
      </w:r>
    </w:p>
    <w:p>
      <w:pPr>
        <w:widowControl/>
        <w:shd w:val="clear" w:fill="auto"/>
        <w:autoSpaceDE w:val="0"/>
        <w:autoSpaceDN w:val="0"/>
        <w:spacing w:line="360" w:lineRule="auto"/>
        <w:ind w:leftChars="2000"/>
        <w:jc w:val="left"/>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法定代表人：</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 xml:space="preserve"> （</w:t>
      </w:r>
      <w:r>
        <w:rPr>
          <w:rFonts w:hint="eastAsia" w:ascii="宋体" w:hAnsi="宋体" w:eastAsia="宋体" w:cs="宋体"/>
          <w:color w:val="auto"/>
          <w:kern w:val="2"/>
          <w:sz w:val="21"/>
          <w:szCs w:val="20"/>
          <w:highlight w:val="none"/>
        </w:rPr>
        <w:t>签字</w:t>
      </w:r>
      <w:r>
        <w:rPr>
          <w:rFonts w:hint="eastAsia" w:ascii="宋体" w:hAnsi="宋体" w:eastAsia="宋体" w:cs="宋体"/>
          <w:color w:val="auto"/>
          <w:kern w:val="2"/>
          <w:sz w:val="21"/>
          <w:szCs w:val="20"/>
          <w:highlight w:val="none"/>
          <w:lang w:val="en-US" w:eastAsia="zh-CN"/>
        </w:rPr>
        <w:t>或个人电子签章</w:t>
      </w:r>
      <w:r>
        <w:rPr>
          <w:rFonts w:hint="eastAsia" w:ascii="宋体" w:hAnsi="宋体" w:eastAsia="宋体" w:cs="宋体"/>
          <w:color w:val="auto"/>
          <w:kern w:val="0"/>
          <w:sz w:val="21"/>
          <w:szCs w:val="20"/>
          <w:highlight w:val="none"/>
        </w:rPr>
        <w:t>）</w:t>
      </w:r>
    </w:p>
    <w:p>
      <w:pPr>
        <w:widowControl/>
        <w:shd w:val="clear" w:fill="auto"/>
        <w:autoSpaceDE w:val="0"/>
        <w:autoSpaceDN w:val="0"/>
        <w:spacing w:line="360" w:lineRule="auto"/>
        <w:ind w:leftChars="2000"/>
        <w:jc w:val="left"/>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身份证号码：</w:t>
      </w:r>
      <w:r>
        <w:rPr>
          <w:rFonts w:hint="eastAsia" w:ascii="宋体" w:hAnsi="宋体" w:eastAsia="宋体" w:cs="宋体"/>
          <w:color w:val="auto"/>
          <w:kern w:val="0"/>
          <w:sz w:val="21"/>
          <w:szCs w:val="20"/>
          <w:highlight w:val="none"/>
          <w:u w:val="single"/>
        </w:rPr>
        <w:t xml:space="preserve">                </w:t>
      </w:r>
    </w:p>
    <w:p>
      <w:pPr>
        <w:widowControl/>
        <w:shd w:val="clear" w:fill="auto"/>
        <w:autoSpaceDE w:val="0"/>
        <w:autoSpaceDN w:val="0"/>
        <w:spacing w:line="360" w:lineRule="auto"/>
        <w:ind w:leftChars="2000"/>
        <w:jc w:val="left"/>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年</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月</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日</w:t>
      </w:r>
    </w:p>
    <w:p>
      <w:pPr>
        <w:pStyle w:val="9"/>
        <w:shd w:val="clear" w:fill="auto"/>
        <w:rPr>
          <w:rFonts w:hint="eastAsia" w:ascii="宋体" w:hAnsi="宋体" w:eastAsia="宋体" w:cs="宋体"/>
          <w:highlight w:val="none"/>
          <w:lang w:val="en-US" w:eastAsia="zh-CN"/>
        </w:rPr>
      </w:pPr>
    </w:p>
    <w:p>
      <w:pPr>
        <w:shd w:val="clear" w:fill="auto"/>
        <w:rPr>
          <w:rFonts w:hint="eastAsia" w:ascii="宋体" w:hAnsi="宋体" w:cs="宋体"/>
          <w:szCs w:val="22"/>
          <w:highlight w:val="none"/>
        </w:rPr>
      </w:pPr>
      <w:r>
        <w:rPr>
          <w:rFonts w:hint="eastAsia" w:ascii="宋体" w:hAnsi="宋体" w:cs="宋体"/>
          <w:szCs w:val="22"/>
          <w:highlight w:val="none"/>
        </w:rPr>
        <w:br w:type="page"/>
      </w:r>
    </w:p>
    <w:p>
      <w:pPr>
        <w:numPr>
          <w:ilvl w:val="0"/>
          <w:numId w:val="5"/>
        </w:numPr>
        <w:shd w:val="clear" w:fill="auto"/>
        <w:spacing w:line="360" w:lineRule="auto"/>
        <w:ind w:firstLine="723" w:firstLineChars="300"/>
        <w:contextualSpacing/>
        <w:jc w:val="center"/>
        <w:rPr>
          <w:rFonts w:hint="eastAsia" w:ascii="宋体" w:hAnsi="宋体" w:cs="宋体"/>
          <w:b/>
          <w:sz w:val="24"/>
          <w:szCs w:val="22"/>
          <w:highlight w:val="none"/>
        </w:rPr>
      </w:pPr>
      <w:bookmarkStart w:id="867" w:name="_Toc30712"/>
      <w:bookmarkStart w:id="868" w:name="_Toc28478"/>
      <w:bookmarkStart w:id="869" w:name="_Toc505245935"/>
      <w:bookmarkStart w:id="870" w:name="_Toc496616763"/>
      <w:r>
        <w:rPr>
          <w:rFonts w:hint="eastAsia" w:ascii="宋体" w:hAnsi="宋体" w:cs="宋体"/>
          <w:b/>
          <w:sz w:val="24"/>
          <w:szCs w:val="22"/>
          <w:highlight w:val="none"/>
        </w:rPr>
        <w:t>授权委托书</w:t>
      </w:r>
      <w:bookmarkEnd w:id="867"/>
      <w:bookmarkEnd w:id="868"/>
      <w:bookmarkEnd w:id="869"/>
      <w:bookmarkEnd w:id="870"/>
    </w:p>
    <w:p>
      <w:pPr>
        <w:numPr>
          <w:ilvl w:val="0"/>
          <w:numId w:val="0"/>
        </w:numPr>
        <w:shd w:val="clear" w:fill="auto"/>
        <w:spacing w:line="360" w:lineRule="auto"/>
        <w:contextualSpacing/>
        <w:rPr>
          <w:rFonts w:hint="eastAsia" w:ascii="宋体" w:hAnsi="宋体" w:cs="宋体"/>
          <w:szCs w:val="21"/>
          <w:highlight w:val="none"/>
        </w:rPr>
      </w:pPr>
    </w:p>
    <w:p>
      <w:pPr>
        <w:keepNext w:val="0"/>
        <w:keepLines w:val="0"/>
        <w:pageBreakBefore w:val="0"/>
        <w:widowControl w:val="0"/>
        <w:numPr>
          <w:ilvl w:val="0"/>
          <w:numId w:val="0"/>
        </w:numPr>
        <w:shd w:val="clear" w:fill="auto"/>
        <w:kinsoku/>
        <w:wordWrap/>
        <w:overflowPunct/>
        <w:topLinePunct w:val="0"/>
        <w:autoSpaceDE/>
        <w:autoSpaceDN/>
        <w:bidi w:val="0"/>
        <w:adjustRightInd/>
        <w:snapToGrid/>
        <w:spacing w:line="360" w:lineRule="auto"/>
        <w:ind w:firstLine="420" w:firstLineChars="200"/>
        <w:contextualSpacing/>
        <w:textAlignment w:val="auto"/>
        <w:rPr>
          <w:rFonts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（项目名称）投标文件、签订合同和处理有关事宜，其法律后果由我方承担。</w:t>
      </w:r>
    </w:p>
    <w:p>
      <w:pPr>
        <w:shd w:val="clear" w:fill="auto"/>
        <w:spacing w:before="156" w:beforeLines="50" w:line="360" w:lineRule="auto"/>
        <w:ind w:firstLine="420" w:firstLineChars="200"/>
        <w:contextualSpacing/>
        <w:rPr>
          <w:rFonts w:ascii="宋体" w:hAnsi="宋体" w:cs="宋体"/>
          <w:szCs w:val="21"/>
          <w:highlight w:val="none"/>
        </w:rPr>
      </w:pPr>
      <w:r>
        <w:rPr>
          <w:rFonts w:hint="eastAsia" w:ascii="宋体" w:hAnsi="宋体" w:cs="宋体"/>
          <w:szCs w:val="21"/>
          <w:highlight w:val="none"/>
        </w:rPr>
        <w:t>委托期限：</w:t>
      </w:r>
      <w:r>
        <w:rPr>
          <w:rFonts w:hint="eastAsia" w:ascii="宋体" w:hAnsi="宋体" w:cs="宋体"/>
          <w:szCs w:val="21"/>
          <w:highlight w:val="none"/>
          <w:u w:val="single"/>
        </w:rPr>
        <w:t>自本授权委托书签署之日起至投标有效期期满</w:t>
      </w:r>
      <w:r>
        <w:rPr>
          <w:rFonts w:hint="eastAsia" w:ascii="宋体" w:hAnsi="宋体" w:cs="宋体"/>
          <w:szCs w:val="21"/>
          <w:highlight w:val="none"/>
        </w:rPr>
        <w:t>。</w:t>
      </w:r>
    </w:p>
    <w:p>
      <w:pPr>
        <w:shd w:val="clear" w:fill="auto"/>
        <w:spacing w:before="312" w:beforeLines="100" w:after="312" w:afterLines="100" w:line="360" w:lineRule="auto"/>
        <w:ind w:firstLine="420" w:firstLineChars="200"/>
        <w:contextualSpacing/>
        <w:rPr>
          <w:rFonts w:ascii="宋体" w:hAnsi="宋体" w:cs="宋体"/>
          <w:szCs w:val="21"/>
          <w:highlight w:val="none"/>
        </w:rPr>
      </w:pPr>
      <w:r>
        <w:rPr>
          <w:rFonts w:hint="eastAsia" w:ascii="宋体" w:hAnsi="宋体" w:cs="宋体"/>
          <w:szCs w:val="21"/>
          <w:highlight w:val="none"/>
        </w:rPr>
        <w:t>代理人无转委托权。</w:t>
      </w:r>
    </w:p>
    <w:p>
      <w:pPr>
        <w:shd w:val="clear" w:fill="auto"/>
        <w:spacing w:line="360" w:lineRule="auto"/>
        <w:contextualSpacing/>
        <w:rPr>
          <w:rFonts w:ascii="宋体" w:hAnsi="宋体" w:cs="宋体"/>
          <w:highlight w:val="none"/>
        </w:rPr>
      </w:pPr>
      <w:bookmarkStart w:id="871" w:name="_Toc27679"/>
      <w:bookmarkStart w:id="872" w:name="_Toc505245936"/>
      <w:bookmarkStart w:id="873" w:name="_Toc496616764"/>
      <w:r>
        <w:rPr>
          <w:rFonts w:hint="eastAsia" w:ascii="宋体" w:hAnsi="宋体" w:cs="宋体"/>
          <w:highlight w:val="none"/>
        </w:rPr>
        <w:t>注：投标人须提供法定代表人和委托代理人的身份证复印件。</w:t>
      </w:r>
      <w:bookmarkEnd w:id="871"/>
      <w:bookmarkEnd w:id="872"/>
      <w:bookmarkEnd w:id="873"/>
    </w:p>
    <w:p>
      <w:pPr>
        <w:shd w:val="clear" w:fill="auto"/>
        <w:spacing w:line="360" w:lineRule="auto"/>
        <w:contextualSpacing/>
        <w:rPr>
          <w:rFonts w:ascii="宋体" w:hAnsi="宋体" w:cs="宋体"/>
          <w:szCs w:val="21"/>
          <w:highlight w:val="none"/>
        </w:rPr>
      </w:pPr>
    </w:p>
    <w:p>
      <w:pPr>
        <w:shd w:val="clear" w:fill="auto"/>
        <w:spacing w:line="360" w:lineRule="auto"/>
        <w:ind w:firstLine="3570" w:firstLineChars="1700"/>
        <w:contextualSpacing/>
        <w:rPr>
          <w:rFonts w:ascii="宋体" w:hAnsi="宋体" w:cs="宋体"/>
          <w:szCs w:val="21"/>
          <w:highlight w:val="none"/>
        </w:rPr>
      </w:pPr>
    </w:p>
    <w:p>
      <w:pPr>
        <w:shd w:val="clear" w:fill="auto"/>
        <w:spacing w:line="360" w:lineRule="auto"/>
        <w:ind w:firstLine="3570" w:firstLineChars="1700"/>
        <w:contextualSpacing/>
        <w:rPr>
          <w:rFonts w:ascii="宋体" w:hAnsi="宋体" w:cs="宋体"/>
          <w:szCs w:val="21"/>
          <w:highlight w:val="none"/>
        </w:rPr>
      </w:pPr>
      <w:r>
        <w:rPr>
          <w:rFonts w:hint="eastAsia" w:ascii="宋体" w:hAnsi="宋体" w:cs="宋体"/>
          <w:szCs w:val="21"/>
          <w:highlight w:val="none"/>
        </w:rPr>
        <w:t>投  标  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hd w:val="clear" w:fill="auto"/>
        <w:spacing w:line="360" w:lineRule="auto"/>
        <w:ind w:firstLine="3570" w:firstLineChars="1700"/>
        <w:contextualSpacing/>
        <w:rPr>
          <w:rFonts w:ascii="宋体" w:hAnsi="宋体" w:cs="宋体"/>
          <w:szCs w:val="21"/>
          <w:highlight w:val="none"/>
        </w:rPr>
      </w:pPr>
    </w:p>
    <w:p>
      <w:pPr>
        <w:shd w:val="clear" w:fill="auto"/>
        <w:spacing w:line="360" w:lineRule="auto"/>
        <w:ind w:firstLine="3570" w:firstLineChars="1700"/>
        <w:contextualSpacing/>
        <w:rPr>
          <w:rFonts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pPr>
        <w:shd w:val="clear" w:fill="auto"/>
        <w:spacing w:line="360" w:lineRule="auto"/>
        <w:ind w:firstLine="3570" w:firstLineChars="1700"/>
        <w:contextualSpacing/>
        <w:rPr>
          <w:rFonts w:ascii="宋体" w:hAnsi="宋体" w:cs="宋体"/>
          <w:szCs w:val="21"/>
          <w:highlight w:val="none"/>
          <w:u w:val="singl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pPr>
        <w:shd w:val="clear" w:fill="auto"/>
        <w:spacing w:line="360" w:lineRule="auto"/>
        <w:ind w:firstLine="3570" w:firstLineChars="1700"/>
        <w:contextualSpacing/>
        <w:rPr>
          <w:rFonts w:ascii="宋体" w:hAnsi="宋体" w:cs="宋体"/>
          <w:szCs w:val="21"/>
          <w:highlight w:val="non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pPr>
        <w:shd w:val="clear" w:fill="auto"/>
        <w:spacing w:line="360" w:lineRule="auto"/>
        <w:ind w:firstLine="3570" w:firstLineChars="1700"/>
        <w:contextualSpacing/>
        <w:rPr>
          <w:rFonts w:ascii="宋体" w:hAnsi="宋体" w:cs="宋体"/>
          <w:szCs w:val="21"/>
          <w:highlight w:val="none"/>
          <w:u w:val="singl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pPr>
        <w:shd w:val="clear" w:fill="auto"/>
        <w:spacing w:line="360" w:lineRule="auto"/>
        <w:ind w:firstLine="3570" w:firstLineChars="1700"/>
        <w:contextualSpacing/>
        <w:rPr>
          <w:rFonts w:ascii="宋体" w:hAnsi="宋体" w:cs="宋体"/>
          <w:szCs w:val="21"/>
          <w:highlight w:val="none"/>
          <w:u w:val="single"/>
        </w:rPr>
      </w:pPr>
      <w:r>
        <w:rPr>
          <w:rFonts w:hint="eastAsia" w:ascii="宋体" w:hAnsi="宋体" w:cs="宋体"/>
          <w:szCs w:val="21"/>
          <w:highlight w:val="none"/>
        </w:rPr>
        <w:t>委托代理人手机号码：</w:t>
      </w:r>
      <w:r>
        <w:rPr>
          <w:rFonts w:hint="eastAsia" w:ascii="宋体" w:hAnsi="宋体" w:cs="宋体"/>
          <w:szCs w:val="21"/>
          <w:highlight w:val="none"/>
          <w:u w:val="single"/>
        </w:rPr>
        <w:t xml:space="preserve">                                 </w:t>
      </w:r>
    </w:p>
    <w:p>
      <w:pPr>
        <w:widowControl/>
        <w:shd w:val="clear" w:fill="auto"/>
        <w:adjustRightInd w:val="0"/>
        <w:spacing w:line="360" w:lineRule="auto"/>
        <w:jc w:val="center"/>
        <w:rPr>
          <w:rFonts w:hint="eastAsia" w:ascii="宋体" w:hAnsi="宋体" w:cs="宋体"/>
          <w:szCs w:val="21"/>
          <w:highlight w:val="none"/>
        </w:rPr>
      </w:pPr>
      <w:r>
        <w:rPr>
          <w:rFonts w:hint="eastAsia" w:ascii="宋体" w:hAnsi="宋体" w:cs="宋体"/>
          <w:szCs w:val="21"/>
          <w:highlight w:val="none"/>
          <w:u w:val="non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bookmarkEnd w:id="865"/>
    <w:bookmarkEnd w:id="866"/>
    <w:p>
      <w:pPr>
        <w:shd w:val="clear" w:fill="FFFFFF" w:themeFill="background1"/>
        <w:rPr>
          <w:rFonts w:hint="eastAsia" w:ascii="宋体" w:hAnsi="宋体" w:eastAsia="宋体" w:cs="宋体"/>
          <w:color w:val="auto"/>
          <w:kern w:val="2"/>
          <w:sz w:val="21"/>
          <w:szCs w:val="20"/>
          <w:highlight w:val="none"/>
        </w:rPr>
      </w:pPr>
      <w:bookmarkStart w:id="874" w:name="_Toc359399427"/>
      <w:bookmarkStart w:id="875" w:name="_Toc331006999"/>
    </w:p>
    <w:p>
      <w:pPr>
        <w:shd w:val="clear" w:fill="auto"/>
        <w:autoSpaceDE/>
        <w:autoSpaceDN/>
        <w:adjustRightInd/>
        <w:spacing w:before="0" w:beforeLines="-2147483648" w:line="240" w:lineRule="auto"/>
        <w:ind w:left="0" w:leftChars="0"/>
        <w:jc w:val="left"/>
        <w:outlineLvl w:val="9"/>
        <w:rPr>
          <w:rFonts w:hint="eastAsia" w:ascii="宋体" w:hAnsi="宋体"/>
          <w:b/>
          <w:color w:val="000000"/>
          <w:kern w:val="0"/>
          <w:sz w:val="32"/>
          <w:highlight w:val="none"/>
        </w:rPr>
      </w:pPr>
      <w:bookmarkStart w:id="876" w:name="_Toc25293"/>
      <w:bookmarkStart w:id="877" w:name="_Toc9670"/>
      <w:bookmarkStart w:id="878" w:name="_Toc20685"/>
      <w:r>
        <w:rPr>
          <w:rFonts w:hint="eastAsia" w:ascii="宋体" w:hAnsi="宋体"/>
          <w:b/>
          <w:color w:val="000000"/>
          <w:kern w:val="0"/>
          <w:sz w:val="32"/>
          <w:highlight w:val="none"/>
        </w:rPr>
        <w:br w:type="page"/>
      </w:r>
    </w:p>
    <w:p>
      <w:pPr>
        <w:shd w:val="clear" w:fill="auto"/>
        <w:autoSpaceDE w:val="0"/>
        <w:autoSpaceDN w:val="0"/>
        <w:adjustRightInd w:val="0"/>
        <w:spacing w:before="156" w:beforeLines="50" w:line="360" w:lineRule="auto"/>
        <w:ind w:left="-359" w:leftChars="-171"/>
        <w:jc w:val="center"/>
        <w:outlineLvl w:val="2"/>
        <w:rPr>
          <w:rFonts w:ascii="宋体" w:hAnsi="宋体"/>
          <w:b/>
          <w:color w:val="000000"/>
          <w:kern w:val="0"/>
          <w:sz w:val="32"/>
          <w:highlight w:val="none"/>
        </w:rPr>
      </w:pPr>
      <w:bookmarkStart w:id="879" w:name="_Toc15928"/>
      <w:r>
        <w:rPr>
          <w:rFonts w:hint="eastAsia" w:ascii="宋体" w:hAnsi="宋体"/>
          <w:b/>
          <w:color w:val="000000"/>
          <w:kern w:val="0"/>
          <w:sz w:val="32"/>
          <w:highlight w:val="none"/>
          <w:lang w:val="en-US" w:eastAsia="zh-CN"/>
        </w:rPr>
        <w:t>三</w:t>
      </w:r>
      <w:r>
        <w:rPr>
          <w:rFonts w:hint="eastAsia" w:ascii="宋体" w:hAnsi="宋体"/>
          <w:b/>
          <w:color w:val="000000"/>
          <w:kern w:val="0"/>
          <w:sz w:val="32"/>
          <w:highlight w:val="none"/>
        </w:rPr>
        <w:t>、投标保证金</w:t>
      </w:r>
      <w:bookmarkEnd w:id="874"/>
      <w:bookmarkEnd w:id="875"/>
      <w:bookmarkEnd w:id="876"/>
      <w:bookmarkEnd w:id="877"/>
      <w:bookmarkEnd w:id="878"/>
      <w:bookmarkEnd w:id="879"/>
    </w:p>
    <w:p>
      <w:pPr>
        <w:shd w:val="clear" w:fill="auto"/>
        <w:spacing w:line="360" w:lineRule="auto"/>
        <w:contextualSpacing/>
        <w:rPr>
          <w:rFonts w:hint="eastAsia" w:ascii="宋体" w:hAnsi="宋体" w:cs="宋体"/>
          <w:highlight w:val="none"/>
          <w:lang w:eastAsia="en-US"/>
        </w:rPr>
      </w:pPr>
    </w:p>
    <w:p>
      <w:pPr>
        <w:shd w:val="clear" w:fill="auto"/>
        <w:spacing w:line="360" w:lineRule="auto"/>
        <w:contextualSpacing/>
        <w:rPr>
          <w:rFonts w:ascii="宋体" w:hAnsi="宋体" w:cs="宋体"/>
          <w:highlight w:val="none"/>
        </w:rPr>
      </w:pPr>
      <w:r>
        <w:rPr>
          <w:rFonts w:hint="eastAsia" w:ascii="宋体" w:hAnsi="宋体" w:cs="宋体"/>
          <w:highlight w:val="none"/>
          <w:lang w:eastAsia="en-US"/>
        </w:rPr>
        <w:fldChar w:fldCharType="begin"/>
      </w:r>
      <w:r>
        <w:rPr>
          <w:rFonts w:hint="eastAsia" w:ascii="宋体" w:hAnsi="宋体" w:cs="宋体"/>
          <w:highlight w:val="none"/>
        </w:rPr>
        <w:instrText xml:space="preserve"> = 1 \* GB2 </w:instrText>
      </w:r>
      <w:r>
        <w:rPr>
          <w:rFonts w:hint="eastAsia" w:ascii="宋体" w:hAnsi="宋体" w:cs="宋体"/>
          <w:highlight w:val="none"/>
          <w:lang w:eastAsia="en-US"/>
        </w:rPr>
        <w:fldChar w:fldCharType="separate"/>
      </w:r>
      <w:r>
        <w:rPr>
          <w:rFonts w:hint="eastAsia" w:ascii="宋体" w:hAnsi="宋体" w:cs="宋体"/>
          <w:highlight w:val="none"/>
        </w:rPr>
        <w:t>⑴</w:t>
      </w:r>
      <w:r>
        <w:rPr>
          <w:rFonts w:hint="eastAsia" w:ascii="宋体" w:hAnsi="宋体" w:cs="宋体"/>
          <w:highlight w:val="none"/>
          <w:lang w:eastAsia="en-US"/>
        </w:rPr>
        <w:fldChar w:fldCharType="end"/>
      </w:r>
      <w:r>
        <w:rPr>
          <w:rFonts w:hint="eastAsia" w:ascii="宋体" w:hAnsi="宋体" w:cs="宋体"/>
          <w:highlight w:val="none"/>
        </w:rPr>
        <w:t>采用转账形式递交保证金的，投标文件中须附基本开户许可证或企业基本存款账户开户信息及转账凭证。</w:t>
      </w:r>
    </w:p>
    <w:p>
      <w:pPr>
        <w:shd w:val="clear" w:fill="auto"/>
        <w:spacing w:line="360" w:lineRule="auto"/>
        <w:contextualSpacing/>
        <w:rPr>
          <w:rFonts w:ascii="宋体" w:hAnsi="宋体" w:cs="宋体"/>
          <w:highlight w:val="none"/>
        </w:rPr>
      </w:pPr>
      <w:r>
        <w:rPr>
          <w:rFonts w:hint="eastAsia" w:ascii="宋体" w:hAnsi="宋体" w:cs="宋体"/>
          <w:highlight w:val="none"/>
          <w:lang w:eastAsia="en-US"/>
        </w:rPr>
        <w:fldChar w:fldCharType="begin"/>
      </w:r>
      <w:r>
        <w:rPr>
          <w:rFonts w:hint="eastAsia" w:ascii="宋体" w:hAnsi="宋体" w:cs="宋体"/>
          <w:highlight w:val="none"/>
        </w:rPr>
        <w:instrText xml:space="preserve"> = 2 \* GB2 </w:instrText>
      </w:r>
      <w:r>
        <w:rPr>
          <w:rFonts w:hint="eastAsia" w:ascii="宋体" w:hAnsi="宋体" w:cs="宋体"/>
          <w:highlight w:val="none"/>
          <w:lang w:eastAsia="en-US"/>
        </w:rPr>
        <w:fldChar w:fldCharType="separate"/>
      </w:r>
      <w:r>
        <w:rPr>
          <w:rFonts w:hint="eastAsia" w:ascii="宋体" w:hAnsi="宋体" w:cs="宋体"/>
          <w:highlight w:val="none"/>
        </w:rPr>
        <w:t>⑵</w:t>
      </w:r>
      <w:r>
        <w:rPr>
          <w:rFonts w:hint="eastAsia" w:ascii="宋体" w:hAnsi="宋体" w:cs="宋体"/>
          <w:highlight w:val="none"/>
          <w:lang w:eastAsia="en-US"/>
        </w:rPr>
        <w:fldChar w:fldCharType="end"/>
      </w:r>
      <w:r>
        <w:rPr>
          <w:rFonts w:hint="eastAsia" w:ascii="宋体" w:hAnsi="宋体" w:cs="宋体"/>
          <w:highlight w:val="none"/>
        </w:rPr>
        <w:t>投标保证金若为保函形式的，投标文件中须附电子保函。</w:t>
      </w:r>
    </w:p>
    <w:p>
      <w:pPr>
        <w:shd w:val="clear" w:fill="auto"/>
        <w:spacing w:line="360" w:lineRule="auto"/>
        <w:contextualSpacing/>
        <w:rPr>
          <w:rFonts w:ascii="宋体" w:hAnsi="宋体" w:cs="宋体"/>
          <w:highlight w:val="none"/>
        </w:rPr>
      </w:pPr>
    </w:p>
    <w:p>
      <w:pPr>
        <w:shd w:val="clear" w:fill="auto"/>
        <w:spacing w:line="360" w:lineRule="auto"/>
        <w:rPr>
          <w:rFonts w:ascii="宋体" w:hAnsi="宋体"/>
          <w:color w:val="000000"/>
          <w:highlight w:val="none"/>
        </w:rPr>
      </w:pPr>
    </w:p>
    <w:p>
      <w:pPr>
        <w:shd w:val="clear" w:fill="auto"/>
        <w:spacing w:line="360" w:lineRule="auto"/>
        <w:ind w:firstLine="562" w:firstLineChars="200"/>
        <w:jc w:val="center"/>
        <w:rPr>
          <w:rFonts w:ascii="宋体" w:hAnsi="宋体"/>
          <w:b/>
          <w:color w:val="000000"/>
          <w:kern w:val="0"/>
          <w:sz w:val="28"/>
          <w:highlight w:val="none"/>
        </w:rPr>
      </w:pPr>
    </w:p>
    <w:p>
      <w:pPr>
        <w:shd w:val="clear" w:fill="auto"/>
        <w:rPr>
          <w:rFonts w:hint="eastAsia" w:ascii="宋体" w:hAnsi="宋体"/>
          <w:b/>
          <w:color w:val="000000"/>
          <w:kern w:val="0"/>
          <w:sz w:val="32"/>
          <w:highlight w:val="none"/>
        </w:rPr>
      </w:pPr>
      <w:bookmarkStart w:id="880" w:name="_Toc359399428"/>
      <w:bookmarkStart w:id="881" w:name="_Toc331007000"/>
      <w:bookmarkStart w:id="882" w:name="_Toc306980272"/>
      <w:r>
        <w:rPr>
          <w:rFonts w:hint="eastAsia" w:ascii="宋体" w:hAnsi="宋体"/>
          <w:b/>
          <w:color w:val="000000"/>
          <w:kern w:val="0"/>
          <w:sz w:val="32"/>
          <w:highlight w:val="none"/>
        </w:rPr>
        <w:br w:type="page"/>
      </w:r>
    </w:p>
    <w:p>
      <w:pPr>
        <w:shd w:val="clear" w:fill="auto"/>
        <w:autoSpaceDE w:val="0"/>
        <w:autoSpaceDN w:val="0"/>
        <w:adjustRightInd w:val="0"/>
        <w:spacing w:before="156" w:beforeLines="50" w:line="360" w:lineRule="auto"/>
        <w:ind w:left="-359" w:leftChars="-171"/>
        <w:jc w:val="center"/>
        <w:outlineLvl w:val="2"/>
        <w:rPr>
          <w:rFonts w:ascii="宋体" w:hAnsi="宋体"/>
          <w:b/>
          <w:color w:val="000000"/>
          <w:kern w:val="0"/>
          <w:sz w:val="32"/>
          <w:highlight w:val="none"/>
        </w:rPr>
      </w:pPr>
      <w:bookmarkStart w:id="883" w:name="_Toc23246"/>
      <w:bookmarkStart w:id="884" w:name="_Toc21028"/>
      <w:bookmarkStart w:id="885" w:name="_Toc3112"/>
      <w:bookmarkStart w:id="886" w:name="_Toc30417"/>
      <w:r>
        <w:rPr>
          <w:rFonts w:hint="eastAsia" w:ascii="宋体" w:hAnsi="宋体"/>
          <w:b/>
          <w:color w:val="000000"/>
          <w:kern w:val="0"/>
          <w:sz w:val="32"/>
          <w:highlight w:val="none"/>
          <w:lang w:val="en-US" w:eastAsia="zh-CN"/>
        </w:rPr>
        <w:t>四</w:t>
      </w:r>
      <w:r>
        <w:rPr>
          <w:rFonts w:hint="eastAsia" w:ascii="宋体" w:hAnsi="宋体"/>
          <w:b/>
          <w:color w:val="000000"/>
          <w:kern w:val="0"/>
          <w:sz w:val="32"/>
          <w:highlight w:val="none"/>
        </w:rPr>
        <w:t>、已标价工程量清单</w:t>
      </w:r>
      <w:bookmarkEnd w:id="880"/>
      <w:bookmarkEnd w:id="881"/>
      <w:bookmarkEnd w:id="882"/>
      <w:bookmarkEnd w:id="883"/>
      <w:bookmarkEnd w:id="884"/>
      <w:bookmarkEnd w:id="885"/>
      <w:bookmarkEnd w:id="886"/>
    </w:p>
    <w:p>
      <w:pPr>
        <w:shd w:val="clear" w:fill="auto"/>
        <w:autoSpaceDE w:val="0"/>
        <w:autoSpaceDN w:val="0"/>
        <w:adjustRightInd w:val="0"/>
        <w:spacing w:line="360" w:lineRule="auto"/>
        <w:ind w:firstLine="359" w:firstLineChars="171"/>
        <w:jc w:val="left"/>
        <w:rPr>
          <w:rFonts w:hint="eastAsia" w:ascii="宋体" w:hAnsi="宋体"/>
          <w:color w:val="000000"/>
          <w:kern w:val="0"/>
          <w:highlight w:val="none"/>
        </w:rPr>
      </w:pPr>
    </w:p>
    <w:p>
      <w:pPr>
        <w:shd w:val="clear" w:fill="auto"/>
        <w:autoSpaceDE w:val="0"/>
        <w:autoSpaceDN w:val="0"/>
        <w:adjustRightInd w:val="0"/>
        <w:spacing w:line="360" w:lineRule="auto"/>
        <w:ind w:firstLine="359" w:firstLineChars="171"/>
        <w:jc w:val="left"/>
        <w:rPr>
          <w:rFonts w:hint="eastAsia" w:ascii="宋体" w:hAnsi="宋体"/>
          <w:color w:val="000000"/>
          <w:kern w:val="0"/>
          <w:highlight w:val="none"/>
        </w:rPr>
      </w:pPr>
    </w:p>
    <w:p>
      <w:pPr>
        <w:shd w:val="clear" w:fill="FFFFFF" w:themeFill="background1"/>
        <w:autoSpaceDE w:val="0"/>
        <w:autoSpaceDN w:val="0"/>
        <w:adjustRightInd w:val="0"/>
        <w:spacing w:line="360" w:lineRule="auto"/>
        <w:ind w:firstLine="359" w:firstLineChars="171"/>
        <w:jc w:val="left"/>
        <w:rPr>
          <w:rFonts w:ascii="宋体" w:hAnsi="宋体"/>
          <w:color w:val="000000"/>
          <w:kern w:val="0"/>
          <w:highlight w:val="none"/>
        </w:rPr>
        <w:sectPr>
          <w:pgSz w:w="11905" w:h="16838"/>
          <w:pgMar w:top="1247" w:right="1247" w:bottom="1247" w:left="1247" w:header="850" w:footer="992" w:gutter="0"/>
          <w:pgNumType w:fmt="decimal"/>
          <w:cols w:space="0" w:num="1"/>
          <w:titlePg/>
          <w:rtlGutter w:val="0"/>
          <w:docGrid w:type="lines" w:linePitch="319" w:charSpace="0"/>
        </w:sectPr>
      </w:pPr>
    </w:p>
    <w:p>
      <w:pPr>
        <w:shd w:val="clear" w:fill="auto"/>
        <w:autoSpaceDE w:val="0"/>
        <w:autoSpaceDN w:val="0"/>
        <w:adjustRightInd w:val="0"/>
        <w:spacing w:before="156" w:beforeLines="50" w:line="360" w:lineRule="auto"/>
        <w:ind w:left="-359" w:leftChars="-171"/>
        <w:jc w:val="center"/>
        <w:outlineLvl w:val="2"/>
        <w:rPr>
          <w:rFonts w:ascii="宋体" w:hAnsi="宋体"/>
          <w:b/>
          <w:color w:val="000000"/>
          <w:kern w:val="0"/>
          <w:sz w:val="32"/>
          <w:highlight w:val="none"/>
        </w:rPr>
      </w:pPr>
      <w:bookmarkStart w:id="887" w:name="_Toc1851"/>
      <w:bookmarkStart w:id="888" w:name="_Toc27069"/>
      <w:bookmarkStart w:id="889" w:name="_Toc359399429"/>
      <w:bookmarkStart w:id="890" w:name="_Toc331007001"/>
      <w:bookmarkStart w:id="891" w:name="_Toc8713"/>
      <w:bookmarkStart w:id="892" w:name="_Toc4584"/>
      <w:r>
        <w:rPr>
          <w:rFonts w:hint="eastAsia" w:ascii="宋体" w:hAnsi="宋体"/>
          <w:b/>
          <w:color w:val="000000"/>
          <w:kern w:val="0"/>
          <w:sz w:val="32"/>
          <w:highlight w:val="none"/>
          <w:lang w:val="en-US" w:eastAsia="zh-CN"/>
        </w:rPr>
        <w:t>五</w:t>
      </w:r>
      <w:r>
        <w:rPr>
          <w:rFonts w:hint="eastAsia" w:ascii="宋体" w:hAnsi="宋体"/>
          <w:b/>
          <w:color w:val="000000"/>
          <w:kern w:val="0"/>
          <w:sz w:val="32"/>
          <w:highlight w:val="none"/>
        </w:rPr>
        <w:t>、施工组织设计</w:t>
      </w:r>
      <w:bookmarkEnd w:id="887"/>
      <w:bookmarkEnd w:id="888"/>
      <w:bookmarkEnd w:id="889"/>
      <w:bookmarkEnd w:id="890"/>
      <w:bookmarkEnd w:id="891"/>
      <w:bookmarkEnd w:id="892"/>
    </w:p>
    <w:p>
      <w:pPr>
        <w:shd w:val="clear" w:fill="auto"/>
        <w:autoSpaceDE w:val="0"/>
        <w:autoSpaceDN w:val="0"/>
        <w:adjustRightInd w:val="0"/>
        <w:spacing w:line="360" w:lineRule="auto"/>
        <w:ind w:firstLine="359" w:firstLineChars="171"/>
        <w:jc w:val="left"/>
        <w:rPr>
          <w:rFonts w:ascii="宋体" w:hAnsi="宋体"/>
          <w:color w:val="000000"/>
          <w:kern w:val="0"/>
          <w:highlight w:val="none"/>
        </w:rPr>
      </w:pPr>
      <w:r>
        <w:rPr>
          <w:rFonts w:hint="eastAsia" w:ascii="宋体" w:hAnsi="宋体"/>
          <w:color w:val="000000"/>
          <w:kern w:val="0"/>
          <w:highlight w:val="none"/>
        </w:rPr>
        <w:t>1. 投标人编制施工组织设计的要求：编制时应采用文字并结合图表形式说明施工方法；</w:t>
      </w:r>
      <w:r>
        <w:rPr>
          <w:rFonts w:hint="eastAsia" w:ascii="宋体" w:hAnsi="宋体" w:eastAsia="宋体" w:cs="宋体"/>
          <w:color w:val="auto"/>
          <w:sz w:val="21"/>
          <w:highlight w:val="none"/>
        </w:rPr>
        <w:t>结合工程特点提出切实可行的</w:t>
      </w:r>
      <w:r>
        <w:rPr>
          <w:rFonts w:hint="eastAsia" w:ascii="宋体" w:hAnsi="宋体" w:eastAsia="宋体" w:cs="宋体"/>
          <w:color w:val="auto"/>
          <w:kern w:val="2"/>
          <w:sz w:val="21"/>
          <w:highlight w:val="none"/>
        </w:rPr>
        <w:t>主要施工方案和技术措施、工程施工重点、难点分析及对策、质量管理体系与措施、确保工期的技术组织措施、安全、文明、环保管理体系与措施、扬尘治理措施及废用垃圾处理措施、组织机构及管理人员、资源配备计划、冬雨季施工、施工排水措施、紧急情况的处理措施、应急预案及风险控制、施工总平面图布置及施工总进度表和施工网络图、合理化建议</w:t>
      </w:r>
      <w:r>
        <w:rPr>
          <w:rFonts w:hint="eastAsia" w:ascii="宋体" w:hAnsi="宋体" w:eastAsia="宋体" w:cs="宋体"/>
          <w:color w:val="auto"/>
          <w:sz w:val="21"/>
          <w:highlight w:val="none"/>
        </w:rPr>
        <w:t>等。</w:t>
      </w:r>
    </w:p>
    <w:p>
      <w:pPr>
        <w:widowControl/>
        <w:shd w:val="clear" w:fill="auto"/>
        <w:autoSpaceDE w:val="0"/>
        <w:autoSpaceDN w:val="0"/>
        <w:spacing w:line="360" w:lineRule="auto"/>
        <w:ind w:left="-359" w:firstLine="359"/>
        <w:jc w:val="left"/>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2. 施工组织设计除采用文字表述外可附下列图表，图表及格式要求附后。</w:t>
      </w:r>
    </w:p>
    <w:p>
      <w:pPr>
        <w:widowControl/>
        <w:shd w:val="clear" w:fill="auto"/>
        <w:autoSpaceDE w:val="0"/>
        <w:autoSpaceDN w:val="0"/>
        <w:spacing w:line="360" w:lineRule="auto"/>
        <w:ind w:firstLine="359"/>
        <w:jc w:val="left"/>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附表一 拟投入本项目的主要施工设备表</w:t>
      </w:r>
    </w:p>
    <w:p>
      <w:pPr>
        <w:widowControl/>
        <w:shd w:val="clear" w:fill="auto"/>
        <w:autoSpaceDE w:val="0"/>
        <w:autoSpaceDN w:val="0"/>
        <w:spacing w:line="360" w:lineRule="auto"/>
        <w:ind w:firstLine="359"/>
        <w:jc w:val="left"/>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附表二 拟配备本项目的试验和检测仪器设备表</w:t>
      </w:r>
    </w:p>
    <w:p>
      <w:pPr>
        <w:widowControl/>
        <w:shd w:val="clear" w:fill="auto"/>
        <w:autoSpaceDE w:val="0"/>
        <w:autoSpaceDN w:val="0"/>
        <w:spacing w:line="360" w:lineRule="auto"/>
        <w:ind w:firstLine="359"/>
        <w:jc w:val="left"/>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附表三 劳动力计划表</w:t>
      </w:r>
    </w:p>
    <w:p>
      <w:pPr>
        <w:widowControl/>
        <w:shd w:val="clear" w:fill="auto"/>
        <w:autoSpaceDE w:val="0"/>
        <w:autoSpaceDN w:val="0"/>
        <w:spacing w:line="360" w:lineRule="auto"/>
        <w:ind w:firstLine="359"/>
        <w:jc w:val="left"/>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附表四 计划开、竣工日期和施工进度网络图</w:t>
      </w:r>
    </w:p>
    <w:p>
      <w:pPr>
        <w:widowControl/>
        <w:shd w:val="clear" w:fill="auto"/>
        <w:autoSpaceDE w:val="0"/>
        <w:autoSpaceDN w:val="0"/>
        <w:spacing w:line="360" w:lineRule="auto"/>
        <w:ind w:firstLine="359"/>
        <w:jc w:val="left"/>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附表五 施工总平面图</w:t>
      </w:r>
    </w:p>
    <w:p>
      <w:pPr>
        <w:widowControl/>
        <w:shd w:val="clear" w:fill="auto"/>
        <w:autoSpaceDE w:val="0"/>
        <w:autoSpaceDN w:val="0"/>
        <w:spacing w:line="360" w:lineRule="auto"/>
        <w:ind w:firstLine="359"/>
        <w:jc w:val="left"/>
        <w:rPr>
          <w:rFonts w:hint="eastAsia" w:ascii="宋体" w:hAnsi="宋体" w:eastAsia="宋体" w:cs="宋体"/>
          <w:color w:val="auto"/>
          <w:kern w:val="2"/>
          <w:sz w:val="21"/>
          <w:szCs w:val="20"/>
          <w:highlight w:val="none"/>
        </w:rPr>
      </w:pPr>
      <w:r>
        <w:rPr>
          <w:rFonts w:hint="eastAsia" w:ascii="宋体" w:hAnsi="宋体" w:eastAsia="宋体" w:cs="宋体"/>
          <w:color w:val="auto"/>
          <w:kern w:val="0"/>
          <w:sz w:val="21"/>
          <w:szCs w:val="20"/>
          <w:highlight w:val="none"/>
        </w:rPr>
        <w:t>附表六 临时用地表</w:t>
      </w:r>
    </w:p>
    <w:p>
      <w:pPr>
        <w:shd w:val="clear" w:fill="auto"/>
        <w:spacing w:line="360" w:lineRule="auto"/>
        <w:ind w:firstLine="420" w:firstLineChars="200"/>
        <w:rPr>
          <w:rFonts w:ascii="宋体" w:hAnsi="宋体"/>
          <w:color w:val="000000"/>
          <w:highlight w:val="none"/>
        </w:rPr>
      </w:pPr>
    </w:p>
    <w:p>
      <w:pPr>
        <w:shd w:val="clear" w:fill="auto"/>
        <w:spacing w:line="360" w:lineRule="auto"/>
        <w:ind w:firstLine="420" w:firstLineChars="200"/>
        <w:rPr>
          <w:rFonts w:ascii="宋体" w:hAnsi="宋体"/>
          <w:color w:val="000000"/>
          <w:highlight w:val="none"/>
        </w:rPr>
      </w:pPr>
    </w:p>
    <w:p>
      <w:pPr>
        <w:shd w:val="clear" w:fill="auto"/>
        <w:spacing w:line="360" w:lineRule="auto"/>
        <w:ind w:firstLine="420" w:firstLineChars="200"/>
        <w:rPr>
          <w:rFonts w:ascii="宋体" w:hAnsi="宋体"/>
          <w:color w:val="000000"/>
          <w:highlight w:val="none"/>
        </w:rPr>
      </w:pPr>
    </w:p>
    <w:p>
      <w:pPr>
        <w:widowControl/>
        <w:shd w:val="clear" w:fill="auto"/>
        <w:spacing w:line="360" w:lineRule="auto"/>
        <w:jc w:val="left"/>
        <w:rPr>
          <w:rFonts w:ascii="宋体" w:hAnsi="宋体"/>
          <w:color w:val="000000"/>
          <w:highlight w:val="none"/>
        </w:rPr>
      </w:pPr>
      <w:r>
        <w:rPr>
          <w:rFonts w:ascii="宋体" w:hAnsi="宋体"/>
          <w:color w:val="000000"/>
          <w:highlight w:val="none"/>
        </w:rPr>
        <w:br w:type="page"/>
      </w:r>
    </w:p>
    <w:p>
      <w:pPr>
        <w:shd w:val="clear" w:fill="auto"/>
        <w:autoSpaceDE w:val="0"/>
        <w:autoSpaceDN w:val="0"/>
        <w:adjustRightInd w:val="0"/>
        <w:spacing w:line="360" w:lineRule="auto"/>
        <w:jc w:val="left"/>
        <w:rPr>
          <w:rFonts w:ascii="宋体" w:hAnsi="宋体"/>
          <w:color w:val="000000"/>
          <w:kern w:val="0"/>
          <w:sz w:val="24"/>
          <w:highlight w:val="none"/>
        </w:rPr>
      </w:pPr>
      <w:r>
        <w:rPr>
          <w:rFonts w:hint="eastAsia" w:ascii="宋体" w:hAnsi="宋体"/>
          <w:color w:val="000000"/>
          <w:kern w:val="0"/>
          <w:sz w:val="24"/>
          <w:highlight w:val="none"/>
        </w:rPr>
        <w:t>附表一：拟投入本项目的主要施工设备表</w:t>
      </w:r>
    </w:p>
    <w:tbl>
      <w:tblPr>
        <w:tblStyle w:val="28"/>
        <w:tblpPr w:leftFromText="180" w:rightFromText="180" w:vertAnchor="text" w:horzAnchor="margin" w:tblpXSpec="center" w:tblpY="15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203"/>
        <w:gridCol w:w="1203"/>
        <w:gridCol w:w="801"/>
        <w:gridCol w:w="1203"/>
        <w:gridCol w:w="922"/>
        <w:gridCol w:w="1203"/>
        <w:gridCol w:w="801"/>
        <w:gridCol w:w="1002"/>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60"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序号</w:t>
            </w:r>
          </w:p>
        </w:tc>
        <w:tc>
          <w:tcPr>
            <w:tcW w:w="1203"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设备名称</w:t>
            </w:r>
          </w:p>
        </w:tc>
        <w:tc>
          <w:tcPr>
            <w:tcW w:w="1203"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型号规格</w:t>
            </w:r>
          </w:p>
        </w:tc>
        <w:tc>
          <w:tcPr>
            <w:tcW w:w="801"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数量</w:t>
            </w:r>
          </w:p>
        </w:tc>
        <w:tc>
          <w:tcPr>
            <w:tcW w:w="1203"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国别产地</w:t>
            </w:r>
          </w:p>
        </w:tc>
        <w:tc>
          <w:tcPr>
            <w:tcW w:w="922"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制造年份</w:t>
            </w:r>
          </w:p>
        </w:tc>
        <w:tc>
          <w:tcPr>
            <w:tcW w:w="1203"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额定功率（KW）</w:t>
            </w:r>
          </w:p>
        </w:tc>
        <w:tc>
          <w:tcPr>
            <w:tcW w:w="801"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生产能力</w:t>
            </w:r>
          </w:p>
        </w:tc>
        <w:tc>
          <w:tcPr>
            <w:tcW w:w="1002"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用于施工部位</w:t>
            </w:r>
          </w:p>
        </w:tc>
        <w:tc>
          <w:tcPr>
            <w:tcW w:w="723"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60"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203"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203"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801"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203"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2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203"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801"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00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723" w:type="dxa"/>
            <w:vAlign w:val="top"/>
          </w:tcPr>
          <w:p>
            <w:pPr>
              <w:shd w:val="clear" w:fill="auto"/>
              <w:autoSpaceDE w:val="0"/>
              <w:autoSpaceDN w:val="0"/>
              <w:adjustRightInd w:val="0"/>
              <w:spacing w:line="360" w:lineRule="auto"/>
              <w:jc w:val="left"/>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60"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203"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203"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801"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203"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2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203"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801"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00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723" w:type="dxa"/>
            <w:vAlign w:val="top"/>
          </w:tcPr>
          <w:p>
            <w:pPr>
              <w:shd w:val="clear" w:fill="auto"/>
              <w:autoSpaceDE w:val="0"/>
              <w:autoSpaceDN w:val="0"/>
              <w:adjustRightInd w:val="0"/>
              <w:spacing w:line="360" w:lineRule="auto"/>
              <w:jc w:val="left"/>
              <w:rPr>
                <w:rFonts w:ascii="宋体" w:hAnsi="宋体"/>
                <w:color w:val="000000"/>
                <w:kern w:val="0"/>
                <w:highlight w:val="none"/>
              </w:rPr>
            </w:pPr>
          </w:p>
        </w:tc>
      </w:tr>
    </w:tbl>
    <w:p>
      <w:pPr>
        <w:shd w:val="clear" w:fill="auto"/>
        <w:autoSpaceDE w:val="0"/>
        <w:autoSpaceDN w:val="0"/>
        <w:adjustRightInd w:val="0"/>
        <w:spacing w:line="360" w:lineRule="auto"/>
        <w:jc w:val="left"/>
        <w:rPr>
          <w:rFonts w:hint="eastAsia" w:ascii="宋体" w:hAnsi="宋体"/>
          <w:color w:val="000000"/>
          <w:kern w:val="0"/>
          <w:sz w:val="24"/>
          <w:highlight w:val="none"/>
        </w:rPr>
      </w:pPr>
    </w:p>
    <w:p>
      <w:pPr>
        <w:shd w:val="clear" w:fill="auto"/>
        <w:autoSpaceDE w:val="0"/>
        <w:autoSpaceDN w:val="0"/>
        <w:adjustRightInd w:val="0"/>
        <w:spacing w:line="360" w:lineRule="auto"/>
        <w:jc w:val="left"/>
        <w:rPr>
          <w:rFonts w:ascii="宋体" w:hAnsi="宋体"/>
          <w:color w:val="000000"/>
          <w:kern w:val="0"/>
          <w:sz w:val="24"/>
          <w:highlight w:val="none"/>
        </w:rPr>
      </w:pPr>
      <w:r>
        <w:rPr>
          <w:rFonts w:hint="eastAsia" w:ascii="宋体" w:hAnsi="宋体"/>
          <w:color w:val="000000"/>
          <w:kern w:val="0"/>
          <w:sz w:val="24"/>
          <w:highlight w:val="none"/>
        </w:rPr>
        <w:t>附表二：拟配备本</w:t>
      </w:r>
      <w:r>
        <w:rPr>
          <w:rFonts w:hint="eastAsia" w:ascii="宋体" w:hAnsi="宋体"/>
          <w:color w:val="000000"/>
          <w:kern w:val="0"/>
          <w:highlight w:val="none"/>
        </w:rPr>
        <w:t>项目</w:t>
      </w:r>
      <w:r>
        <w:rPr>
          <w:rFonts w:hint="eastAsia" w:ascii="宋体" w:hAnsi="宋体"/>
          <w:color w:val="000000"/>
          <w:kern w:val="0"/>
          <w:sz w:val="24"/>
          <w:highlight w:val="none"/>
        </w:rPr>
        <w:t>的试验和检测仪器设备表</w:t>
      </w:r>
    </w:p>
    <w:tbl>
      <w:tblPr>
        <w:tblStyle w:val="28"/>
        <w:tblW w:w="9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04"/>
        <w:gridCol w:w="1204"/>
        <w:gridCol w:w="801"/>
        <w:gridCol w:w="1204"/>
        <w:gridCol w:w="923"/>
        <w:gridCol w:w="1204"/>
        <w:gridCol w:w="1004"/>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hd w:val="clear" w:fill="auto"/>
              <w:autoSpaceDE w:val="0"/>
              <w:autoSpaceDN w:val="0"/>
              <w:adjustRightInd w:val="0"/>
              <w:spacing w:line="360" w:lineRule="auto"/>
              <w:ind w:left="-107" w:leftChars="-51"/>
              <w:jc w:val="center"/>
              <w:rPr>
                <w:rFonts w:ascii="宋体" w:hAnsi="宋体"/>
                <w:color w:val="000000"/>
                <w:kern w:val="0"/>
                <w:highlight w:val="none"/>
              </w:rPr>
            </w:pPr>
            <w:r>
              <w:rPr>
                <w:rFonts w:hint="eastAsia" w:ascii="宋体" w:hAnsi="宋体"/>
                <w:color w:val="000000"/>
                <w:kern w:val="0"/>
                <w:highlight w:val="none"/>
              </w:rPr>
              <w:t>序号</w:t>
            </w:r>
          </w:p>
        </w:tc>
        <w:tc>
          <w:tcPr>
            <w:tcW w:w="1204"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仪器设备名称</w:t>
            </w:r>
          </w:p>
        </w:tc>
        <w:tc>
          <w:tcPr>
            <w:tcW w:w="1204"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型号</w:t>
            </w:r>
          </w:p>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规格</w:t>
            </w:r>
          </w:p>
        </w:tc>
        <w:tc>
          <w:tcPr>
            <w:tcW w:w="801"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数量</w:t>
            </w:r>
          </w:p>
        </w:tc>
        <w:tc>
          <w:tcPr>
            <w:tcW w:w="1204"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国别</w:t>
            </w:r>
          </w:p>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产地</w:t>
            </w:r>
          </w:p>
        </w:tc>
        <w:tc>
          <w:tcPr>
            <w:tcW w:w="923"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制造</w:t>
            </w:r>
          </w:p>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年份</w:t>
            </w:r>
          </w:p>
        </w:tc>
        <w:tc>
          <w:tcPr>
            <w:tcW w:w="1204"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已使用台时数</w:t>
            </w:r>
          </w:p>
        </w:tc>
        <w:tc>
          <w:tcPr>
            <w:tcW w:w="1004"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用途</w:t>
            </w:r>
          </w:p>
        </w:tc>
        <w:tc>
          <w:tcPr>
            <w:tcW w:w="876"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top"/>
          </w:tcPr>
          <w:p>
            <w:pPr>
              <w:shd w:val="clear" w:fill="auto"/>
              <w:autoSpaceDE w:val="0"/>
              <w:autoSpaceDN w:val="0"/>
              <w:adjustRightInd w:val="0"/>
              <w:spacing w:line="360" w:lineRule="auto"/>
              <w:jc w:val="center"/>
              <w:rPr>
                <w:rFonts w:ascii="宋体" w:hAnsi="宋体"/>
                <w:color w:val="000000"/>
                <w:kern w:val="0"/>
                <w:highlight w:val="none"/>
              </w:rPr>
            </w:pPr>
          </w:p>
        </w:tc>
        <w:tc>
          <w:tcPr>
            <w:tcW w:w="1204" w:type="dxa"/>
            <w:vAlign w:val="top"/>
          </w:tcPr>
          <w:p>
            <w:pPr>
              <w:shd w:val="clear" w:fill="auto"/>
              <w:autoSpaceDE w:val="0"/>
              <w:autoSpaceDN w:val="0"/>
              <w:adjustRightInd w:val="0"/>
              <w:spacing w:line="360" w:lineRule="auto"/>
              <w:jc w:val="center"/>
              <w:rPr>
                <w:rFonts w:ascii="宋体" w:hAnsi="宋体"/>
                <w:color w:val="000000"/>
                <w:kern w:val="0"/>
                <w:highlight w:val="none"/>
              </w:rPr>
            </w:pPr>
          </w:p>
        </w:tc>
        <w:tc>
          <w:tcPr>
            <w:tcW w:w="1204" w:type="dxa"/>
            <w:vAlign w:val="top"/>
          </w:tcPr>
          <w:p>
            <w:pPr>
              <w:shd w:val="clear" w:fill="auto"/>
              <w:autoSpaceDE w:val="0"/>
              <w:autoSpaceDN w:val="0"/>
              <w:adjustRightInd w:val="0"/>
              <w:spacing w:line="360" w:lineRule="auto"/>
              <w:jc w:val="center"/>
              <w:rPr>
                <w:rFonts w:ascii="宋体" w:hAnsi="宋体"/>
                <w:color w:val="000000"/>
                <w:kern w:val="0"/>
                <w:highlight w:val="none"/>
              </w:rPr>
            </w:pPr>
          </w:p>
        </w:tc>
        <w:tc>
          <w:tcPr>
            <w:tcW w:w="801" w:type="dxa"/>
            <w:vAlign w:val="top"/>
          </w:tcPr>
          <w:p>
            <w:pPr>
              <w:shd w:val="clear" w:fill="auto"/>
              <w:autoSpaceDE w:val="0"/>
              <w:autoSpaceDN w:val="0"/>
              <w:adjustRightInd w:val="0"/>
              <w:spacing w:line="360" w:lineRule="auto"/>
              <w:jc w:val="center"/>
              <w:rPr>
                <w:rFonts w:ascii="宋体" w:hAnsi="宋体"/>
                <w:color w:val="000000"/>
                <w:kern w:val="0"/>
                <w:highlight w:val="none"/>
              </w:rPr>
            </w:pPr>
          </w:p>
        </w:tc>
        <w:tc>
          <w:tcPr>
            <w:tcW w:w="1204" w:type="dxa"/>
            <w:vAlign w:val="top"/>
          </w:tcPr>
          <w:p>
            <w:pPr>
              <w:shd w:val="clear" w:fill="auto"/>
              <w:autoSpaceDE w:val="0"/>
              <w:autoSpaceDN w:val="0"/>
              <w:adjustRightInd w:val="0"/>
              <w:spacing w:line="360" w:lineRule="auto"/>
              <w:jc w:val="center"/>
              <w:rPr>
                <w:rFonts w:ascii="宋体" w:hAnsi="宋体"/>
                <w:color w:val="000000"/>
                <w:kern w:val="0"/>
                <w:highlight w:val="none"/>
              </w:rPr>
            </w:pPr>
          </w:p>
        </w:tc>
        <w:tc>
          <w:tcPr>
            <w:tcW w:w="923" w:type="dxa"/>
            <w:vAlign w:val="top"/>
          </w:tcPr>
          <w:p>
            <w:pPr>
              <w:shd w:val="clear" w:fill="auto"/>
              <w:autoSpaceDE w:val="0"/>
              <w:autoSpaceDN w:val="0"/>
              <w:adjustRightInd w:val="0"/>
              <w:spacing w:line="360" w:lineRule="auto"/>
              <w:jc w:val="center"/>
              <w:rPr>
                <w:rFonts w:ascii="宋体" w:hAnsi="宋体"/>
                <w:color w:val="000000"/>
                <w:kern w:val="0"/>
                <w:highlight w:val="none"/>
              </w:rPr>
            </w:pPr>
          </w:p>
        </w:tc>
        <w:tc>
          <w:tcPr>
            <w:tcW w:w="1204" w:type="dxa"/>
            <w:vAlign w:val="top"/>
          </w:tcPr>
          <w:p>
            <w:pPr>
              <w:shd w:val="clear" w:fill="auto"/>
              <w:autoSpaceDE w:val="0"/>
              <w:autoSpaceDN w:val="0"/>
              <w:adjustRightInd w:val="0"/>
              <w:spacing w:line="360" w:lineRule="auto"/>
              <w:jc w:val="center"/>
              <w:rPr>
                <w:rFonts w:ascii="宋体" w:hAnsi="宋体"/>
                <w:color w:val="000000"/>
                <w:kern w:val="0"/>
                <w:highlight w:val="none"/>
              </w:rPr>
            </w:pPr>
          </w:p>
        </w:tc>
        <w:tc>
          <w:tcPr>
            <w:tcW w:w="1004" w:type="dxa"/>
            <w:vAlign w:val="top"/>
          </w:tcPr>
          <w:p>
            <w:pPr>
              <w:shd w:val="clear" w:fill="auto"/>
              <w:autoSpaceDE w:val="0"/>
              <w:autoSpaceDN w:val="0"/>
              <w:adjustRightInd w:val="0"/>
              <w:spacing w:line="360" w:lineRule="auto"/>
              <w:jc w:val="center"/>
              <w:rPr>
                <w:rFonts w:ascii="宋体" w:hAnsi="宋体"/>
                <w:color w:val="000000"/>
                <w:kern w:val="0"/>
                <w:highlight w:val="none"/>
              </w:rPr>
            </w:pPr>
          </w:p>
        </w:tc>
        <w:tc>
          <w:tcPr>
            <w:tcW w:w="876" w:type="dxa"/>
            <w:vAlign w:val="top"/>
          </w:tcPr>
          <w:p>
            <w:pPr>
              <w:shd w:val="clear" w:fill="auto"/>
              <w:autoSpaceDE w:val="0"/>
              <w:autoSpaceDN w:val="0"/>
              <w:adjustRightInd w:val="0"/>
              <w:spacing w:line="360" w:lineRule="auto"/>
              <w:jc w:val="center"/>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top"/>
          </w:tcPr>
          <w:p>
            <w:pPr>
              <w:shd w:val="clear" w:fill="auto"/>
              <w:autoSpaceDE w:val="0"/>
              <w:autoSpaceDN w:val="0"/>
              <w:adjustRightInd w:val="0"/>
              <w:spacing w:line="360" w:lineRule="auto"/>
              <w:jc w:val="center"/>
              <w:rPr>
                <w:rFonts w:ascii="宋体" w:hAnsi="宋体"/>
                <w:color w:val="000000"/>
                <w:kern w:val="0"/>
                <w:highlight w:val="none"/>
              </w:rPr>
            </w:pPr>
          </w:p>
        </w:tc>
        <w:tc>
          <w:tcPr>
            <w:tcW w:w="1204" w:type="dxa"/>
            <w:vAlign w:val="top"/>
          </w:tcPr>
          <w:p>
            <w:pPr>
              <w:shd w:val="clear" w:fill="auto"/>
              <w:autoSpaceDE w:val="0"/>
              <w:autoSpaceDN w:val="0"/>
              <w:adjustRightInd w:val="0"/>
              <w:spacing w:line="360" w:lineRule="auto"/>
              <w:jc w:val="center"/>
              <w:rPr>
                <w:rFonts w:ascii="宋体" w:hAnsi="宋体"/>
                <w:color w:val="000000"/>
                <w:kern w:val="0"/>
                <w:highlight w:val="none"/>
              </w:rPr>
            </w:pPr>
          </w:p>
        </w:tc>
        <w:tc>
          <w:tcPr>
            <w:tcW w:w="1204" w:type="dxa"/>
            <w:vAlign w:val="top"/>
          </w:tcPr>
          <w:p>
            <w:pPr>
              <w:shd w:val="clear" w:fill="auto"/>
              <w:autoSpaceDE w:val="0"/>
              <w:autoSpaceDN w:val="0"/>
              <w:adjustRightInd w:val="0"/>
              <w:spacing w:line="360" w:lineRule="auto"/>
              <w:jc w:val="center"/>
              <w:rPr>
                <w:rFonts w:ascii="宋体" w:hAnsi="宋体"/>
                <w:color w:val="000000"/>
                <w:kern w:val="0"/>
                <w:highlight w:val="none"/>
              </w:rPr>
            </w:pPr>
          </w:p>
        </w:tc>
        <w:tc>
          <w:tcPr>
            <w:tcW w:w="801" w:type="dxa"/>
            <w:vAlign w:val="top"/>
          </w:tcPr>
          <w:p>
            <w:pPr>
              <w:shd w:val="clear" w:fill="auto"/>
              <w:autoSpaceDE w:val="0"/>
              <w:autoSpaceDN w:val="0"/>
              <w:adjustRightInd w:val="0"/>
              <w:spacing w:line="360" w:lineRule="auto"/>
              <w:jc w:val="center"/>
              <w:rPr>
                <w:rFonts w:ascii="宋体" w:hAnsi="宋体"/>
                <w:color w:val="000000"/>
                <w:kern w:val="0"/>
                <w:highlight w:val="none"/>
              </w:rPr>
            </w:pPr>
          </w:p>
        </w:tc>
        <w:tc>
          <w:tcPr>
            <w:tcW w:w="1204" w:type="dxa"/>
            <w:vAlign w:val="top"/>
          </w:tcPr>
          <w:p>
            <w:pPr>
              <w:shd w:val="clear" w:fill="auto"/>
              <w:autoSpaceDE w:val="0"/>
              <w:autoSpaceDN w:val="0"/>
              <w:adjustRightInd w:val="0"/>
              <w:spacing w:line="360" w:lineRule="auto"/>
              <w:jc w:val="center"/>
              <w:rPr>
                <w:rFonts w:ascii="宋体" w:hAnsi="宋体"/>
                <w:color w:val="000000"/>
                <w:kern w:val="0"/>
                <w:highlight w:val="none"/>
              </w:rPr>
            </w:pPr>
          </w:p>
        </w:tc>
        <w:tc>
          <w:tcPr>
            <w:tcW w:w="923" w:type="dxa"/>
            <w:vAlign w:val="top"/>
          </w:tcPr>
          <w:p>
            <w:pPr>
              <w:shd w:val="clear" w:fill="auto"/>
              <w:autoSpaceDE w:val="0"/>
              <w:autoSpaceDN w:val="0"/>
              <w:adjustRightInd w:val="0"/>
              <w:spacing w:line="360" w:lineRule="auto"/>
              <w:jc w:val="center"/>
              <w:rPr>
                <w:rFonts w:ascii="宋体" w:hAnsi="宋体"/>
                <w:color w:val="000000"/>
                <w:kern w:val="0"/>
                <w:highlight w:val="none"/>
              </w:rPr>
            </w:pPr>
          </w:p>
        </w:tc>
        <w:tc>
          <w:tcPr>
            <w:tcW w:w="1204" w:type="dxa"/>
            <w:vAlign w:val="top"/>
          </w:tcPr>
          <w:p>
            <w:pPr>
              <w:shd w:val="clear" w:fill="auto"/>
              <w:autoSpaceDE w:val="0"/>
              <w:autoSpaceDN w:val="0"/>
              <w:adjustRightInd w:val="0"/>
              <w:spacing w:line="360" w:lineRule="auto"/>
              <w:jc w:val="center"/>
              <w:rPr>
                <w:rFonts w:ascii="宋体" w:hAnsi="宋体"/>
                <w:color w:val="000000"/>
                <w:kern w:val="0"/>
                <w:highlight w:val="none"/>
              </w:rPr>
            </w:pPr>
          </w:p>
        </w:tc>
        <w:tc>
          <w:tcPr>
            <w:tcW w:w="1004" w:type="dxa"/>
            <w:vAlign w:val="top"/>
          </w:tcPr>
          <w:p>
            <w:pPr>
              <w:shd w:val="clear" w:fill="auto"/>
              <w:autoSpaceDE w:val="0"/>
              <w:autoSpaceDN w:val="0"/>
              <w:adjustRightInd w:val="0"/>
              <w:spacing w:line="360" w:lineRule="auto"/>
              <w:jc w:val="center"/>
              <w:rPr>
                <w:rFonts w:ascii="宋体" w:hAnsi="宋体"/>
                <w:color w:val="000000"/>
                <w:kern w:val="0"/>
                <w:highlight w:val="none"/>
              </w:rPr>
            </w:pPr>
          </w:p>
        </w:tc>
        <w:tc>
          <w:tcPr>
            <w:tcW w:w="876" w:type="dxa"/>
            <w:vAlign w:val="top"/>
          </w:tcPr>
          <w:p>
            <w:pPr>
              <w:shd w:val="clear" w:fill="auto"/>
              <w:autoSpaceDE w:val="0"/>
              <w:autoSpaceDN w:val="0"/>
              <w:adjustRightInd w:val="0"/>
              <w:spacing w:line="360" w:lineRule="auto"/>
              <w:jc w:val="center"/>
              <w:rPr>
                <w:rFonts w:ascii="宋体" w:hAnsi="宋体"/>
                <w:color w:val="000000"/>
                <w:kern w:val="0"/>
                <w:highlight w:val="none"/>
              </w:rPr>
            </w:pPr>
          </w:p>
        </w:tc>
      </w:tr>
    </w:tbl>
    <w:p>
      <w:pPr>
        <w:shd w:val="clear" w:fill="auto"/>
        <w:autoSpaceDE w:val="0"/>
        <w:autoSpaceDN w:val="0"/>
        <w:adjustRightInd w:val="0"/>
        <w:spacing w:line="360" w:lineRule="auto"/>
        <w:jc w:val="left"/>
        <w:rPr>
          <w:rFonts w:hint="eastAsia" w:ascii="宋体" w:hAnsi="宋体"/>
          <w:color w:val="000000"/>
          <w:kern w:val="0"/>
          <w:sz w:val="24"/>
          <w:highlight w:val="none"/>
        </w:rPr>
      </w:pPr>
    </w:p>
    <w:p>
      <w:pPr>
        <w:shd w:val="clear" w:fill="auto"/>
        <w:autoSpaceDE w:val="0"/>
        <w:autoSpaceDN w:val="0"/>
        <w:adjustRightInd w:val="0"/>
        <w:spacing w:line="360" w:lineRule="auto"/>
        <w:jc w:val="left"/>
        <w:rPr>
          <w:rFonts w:ascii="宋体" w:hAnsi="宋体"/>
          <w:color w:val="000000"/>
          <w:kern w:val="0"/>
          <w:sz w:val="24"/>
          <w:highlight w:val="none"/>
        </w:rPr>
      </w:pPr>
      <w:r>
        <w:rPr>
          <w:rFonts w:hint="eastAsia" w:ascii="宋体" w:hAnsi="宋体"/>
          <w:color w:val="000000"/>
          <w:kern w:val="0"/>
          <w:sz w:val="24"/>
          <w:highlight w:val="none"/>
        </w:rPr>
        <w:t>附表三：劳动力计划表</w:t>
      </w:r>
      <w:r>
        <w:rPr>
          <w:rFonts w:hint="eastAsia" w:ascii="宋体" w:hAnsi="宋体"/>
          <w:color w:val="000000"/>
          <w:kern w:val="0"/>
          <w:sz w:val="24"/>
          <w:highlight w:val="none"/>
        </w:rPr>
        <w:tab/>
      </w:r>
      <w:r>
        <w:rPr>
          <w:rFonts w:hint="eastAsia" w:ascii="宋体" w:hAnsi="宋体"/>
          <w:color w:val="000000"/>
          <w:kern w:val="0"/>
          <w:sz w:val="24"/>
          <w:highlight w:val="none"/>
        </w:rPr>
        <w:t xml:space="preserve">                          </w:t>
      </w:r>
      <w:r>
        <w:rPr>
          <w:rFonts w:hint="eastAsia" w:ascii="宋体" w:hAnsi="宋体"/>
          <w:color w:val="000000"/>
          <w:kern w:val="0"/>
          <w:highlight w:val="none"/>
        </w:rPr>
        <w:t>单位：人</w:t>
      </w:r>
    </w:p>
    <w:tbl>
      <w:tblPr>
        <w:tblStyle w:val="28"/>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251"/>
        <w:gridCol w:w="1251"/>
        <w:gridCol w:w="1252"/>
        <w:gridCol w:w="1252"/>
        <w:gridCol w:w="1252"/>
        <w:gridCol w:w="125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49" w:type="dxa"/>
            <w:vAlign w:val="center"/>
          </w:tcPr>
          <w:p>
            <w:pPr>
              <w:shd w:val="clear" w:fill="auto"/>
              <w:spacing w:line="360" w:lineRule="auto"/>
              <w:jc w:val="center"/>
              <w:rPr>
                <w:rFonts w:ascii="宋体" w:hAnsi="宋体"/>
                <w:color w:val="000000"/>
                <w:highlight w:val="none"/>
              </w:rPr>
            </w:pPr>
            <w:r>
              <w:rPr>
                <w:rFonts w:hint="eastAsia" w:ascii="宋体" w:hAnsi="宋体"/>
                <w:color w:val="000000"/>
                <w:highlight w:val="none"/>
              </w:rPr>
              <w:t>工种</w:t>
            </w:r>
          </w:p>
        </w:tc>
        <w:tc>
          <w:tcPr>
            <w:tcW w:w="8276" w:type="dxa"/>
            <w:gridSpan w:val="7"/>
            <w:vAlign w:val="center"/>
          </w:tcPr>
          <w:p>
            <w:pPr>
              <w:shd w:val="clear" w:fill="auto"/>
              <w:spacing w:line="360" w:lineRule="auto"/>
              <w:jc w:val="center"/>
              <w:rPr>
                <w:rFonts w:ascii="宋体" w:hAnsi="宋体"/>
                <w:color w:val="000000"/>
                <w:highlight w:val="none"/>
              </w:rPr>
            </w:pPr>
            <w:r>
              <w:rPr>
                <w:rFonts w:hint="eastAsia" w:ascii="宋体" w:hAnsi="宋体"/>
                <w:color w:val="000000"/>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349" w:type="dxa"/>
            <w:vAlign w:val="top"/>
          </w:tcPr>
          <w:p>
            <w:pPr>
              <w:shd w:val="clear" w:fill="auto"/>
              <w:spacing w:line="360" w:lineRule="auto"/>
              <w:rPr>
                <w:rFonts w:ascii="宋体" w:hAnsi="宋体"/>
                <w:color w:val="000000"/>
                <w:highlight w:val="none"/>
              </w:rPr>
            </w:pPr>
          </w:p>
        </w:tc>
        <w:tc>
          <w:tcPr>
            <w:tcW w:w="1251" w:type="dxa"/>
            <w:vAlign w:val="top"/>
          </w:tcPr>
          <w:p>
            <w:pPr>
              <w:shd w:val="clear" w:fill="auto"/>
              <w:spacing w:line="360" w:lineRule="auto"/>
              <w:rPr>
                <w:rFonts w:ascii="宋体" w:hAnsi="宋体"/>
                <w:color w:val="000000"/>
                <w:highlight w:val="none"/>
              </w:rPr>
            </w:pPr>
          </w:p>
        </w:tc>
        <w:tc>
          <w:tcPr>
            <w:tcW w:w="1251" w:type="dxa"/>
            <w:vAlign w:val="top"/>
          </w:tcPr>
          <w:p>
            <w:pPr>
              <w:shd w:val="clear" w:fill="auto"/>
              <w:spacing w:line="360" w:lineRule="auto"/>
              <w:rPr>
                <w:rFonts w:ascii="宋体" w:hAnsi="宋体"/>
                <w:color w:val="000000"/>
                <w:highlight w:val="none"/>
              </w:rPr>
            </w:pPr>
          </w:p>
        </w:tc>
        <w:tc>
          <w:tcPr>
            <w:tcW w:w="1252" w:type="dxa"/>
            <w:vAlign w:val="top"/>
          </w:tcPr>
          <w:p>
            <w:pPr>
              <w:shd w:val="clear" w:fill="auto"/>
              <w:spacing w:line="360" w:lineRule="auto"/>
              <w:rPr>
                <w:rFonts w:ascii="宋体" w:hAnsi="宋体"/>
                <w:color w:val="000000"/>
                <w:highlight w:val="none"/>
              </w:rPr>
            </w:pPr>
          </w:p>
        </w:tc>
        <w:tc>
          <w:tcPr>
            <w:tcW w:w="1252" w:type="dxa"/>
            <w:vAlign w:val="top"/>
          </w:tcPr>
          <w:p>
            <w:pPr>
              <w:shd w:val="clear" w:fill="auto"/>
              <w:spacing w:line="360" w:lineRule="auto"/>
              <w:rPr>
                <w:rFonts w:ascii="宋体" w:hAnsi="宋体"/>
                <w:color w:val="000000"/>
                <w:highlight w:val="none"/>
              </w:rPr>
            </w:pPr>
          </w:p>
        </w:tc>
        <w:tc>
          <w:tcPr>
            <w:tcW w:w="1252" w:type="dxa"/>
            <w:vAlign w:val="top"/>
          </w:tcPr>
          <w:p>
            <w:pPr>
              <w:shd w:val="clear" w:fill="auto"/>
              <w:spacing w:line="360" w:lineRule="auto"/>
              <w:rPr>
                <w:rFonts w:ascii="宋体" w:hAnsi="宋体"/>
                <w:color w:val="000000"/>
                <w:highlight w:val="none"/>
              </w:rPr>
            </w:pPr>
          </w:p>
        </w:tc>
        <w:tc>
          <w:tcPr>
            <w:tcW w:w="1252" w:type="dxa"/>
            <w:vAlign w:val="top"/>
          </w:tcPr>
          <w:p>
            <w:pPr>
              <w:shd w:val="clear" w:fill="auto"/>
              <w:spacing w:line="360" w:lineRule="auto"/>
              <w:rPr>
                <w:rFonts w:ascii="宋体" w:hAnsi="宋体"/>
                <w:color w:val="000000"/>
                <w:highlight w:val="none"/>
              </w:rPr>
            </w:pPr>
          </w:p>
        </w:tc>
        <w:tc>
          <w:tcPr>
            <w:tcW w:w="766" w:type="dxa"/>
            <w:vAlign w:val="top"/>
          </w:tcPr>
          <w:p>
            <w:pPr>
              <w:shd w:val="clear" w:fill="auto"/>
              <w:spacing w:line="360" w:lineRule="auto"/>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349" w:type="dxa"/>
            <w:vAlign w:val="top"/>
          </w:tcPr>
          <w:p>
            <w:pPr>
              <w:shd w:val="clear" w:fill="auto"/>
              <w:spacing w:line="360" w:lineRule="auto"/>
              <w:rPr>
                <w:rFonts w:ascii="宋体" w:hAnsi="宋体"/>
                <w:color w:val="000000"/>
                <w:highlight w:val="none"/>
              </w:rPr>
            </w:pPr>
          </w:p>
        </w:tc>
        <w:tc>
          <w:tcPr>
            <w:tcW w:w="1251" w:type="dxa"/>
            <w:vAlign w:val="top"/>
          </w:tcPr>
          <w:p>
            <w:pPr>
              <w:shd w:val="clear" w:fill="auto"/>
              <w:spacing w:line="360" w:lineRule="auto"/>
              <w:rPr>
                <w:rFonts w:ascii="宋体" w:hAnsi="宋体"/>
                <w:color w:val="000000"/>
                <w:highlight w:val="none"/>
              </w:rPr>
            </w:pPr>
          </w:p>
        </w:tc>
        <w:tc>
          <w:tcPr>
            <w:tcW w:w="1251" w:type="dxa"/>
            <w:vAlign w:val="top"/>
          </w:tcPr>
          <w:p>
            <w:pPr>
              <w:shd w:val="clear" w:fill="auto"/>
              <w:spacing w:line="360" w:lineRule="auto"/>
              <w:rPr>
                <w:rFonts w:ascii="宋体" w:hAnsi="宋体"/>
                <w:color w:val="000000"/>
                <w:highlight w:val="none"/>
              </w:rPr>
            </w:pPr>
          </w:p>
        </w:tc>
        <w:tc>
          <w:tcPr>
            <w:tcW w:w="1252" w:type="dxa"/>
            <w:vAlign w:val="top"/>
          </w:tcPr>
          <w:p>
            <w:pPr>
              <w:shd w:val="clear" w:fill="auto"/>
              <w:spacing w:line="360" w:lineRule="auto"/>
              <w:rPr>
                <w:rFonts w:ascii="宋体" w:hAnsi="宋体"/>
                <w:color w:val="000000"/>
                <w:highlight w:val="none"/>
              </w:rPr>
            </w:pPr>
          </w:p>
        </w:tc>
        <w:tc>
          <w:tcPr>
            <w:tcW w:w="1252" w:type="dxa"/>
            <w:vAlign w:val="top"/>
          </w:tcPr>
          <w:p>
            <w:pPr>
              <w:shd w:val="clear" w:fill="auto"/>
              <w:spacing w:line="360" w:lineRule="auto"/>
              <w:rPr>
                <w:rFonts w:ascii="宋体" w:hAnsi="宋体"/>
                <w:color w:val="000000"/>
                <w:highlight w:val="none"/>
              </w:rPr>
            </w:pPr>
          </w:p>
        </w:tc>
        <w:tc>
          <w:tcPr>
            <w:tcW w:w="1252" w:type="dxa"/>
            <w:vAlign w:val="top"/>
          </w:tcPr>
          <w:p>
            <w:pPr>
              <w:shd w:val="clear" w:fill="auto"/>
              <w:spacing w:line="360" w:lineRule="auto"/>
              <w:rPr>
                <w:rFonts w:ascii="宋体" w:hAnsi="宋体"/>
                <w:color w:val="000000"/>
                <w:highlight w:val="none"/>
              </w:rPr>
            </w:pPr>
          </w:p>
        </w:tc>
        <w:tc>
          <w:tcPr>
            <w:tcW w:w="1252" w:type="dxa"/>
            <w:vAlign w:val="top"/>
          </w:tcPr>
          <w:p>
            <w:pPr>
              <w:shd w:val="clear" w:fill="auto"/>
              <w:spacing w:line="360" w:lineRule="auto"/>
              <w:rPr>
                <w:rFonts w:ascii="宋体" w:hAnsi="宋体"/>
                <w:color w:val="000000"/>
                <w:highlight w:val="none"/>
              </w:rPr>
            </w:pPr>
          </w:p>
        </w:tc>
        <w:tc>
          <w:tcPr>
            <w:tcW w:w="766" w:type="dxa"/>
            <w:vAlign w:val="top"/>
          </w:tcPr>
          <w:p>
            <w:pPr>
              <w:shd w:val="clear" w:fill="auto"/>
              <w:spacing w:line="360" w:lineRule="auto"/>
              <w:rPr>
                <w:rFonts w:ascii="宋体" w:hAnsi="宋体"/>
                <w:color w:val="000000"/>
                <w:highlight w:val="none"/>
              </w:rPr>
            </w:pPr>
          </w:p>
        </w:tc>
      </w:tr>
    </w:tbl>
    <w:p>
      <w:pPr>
        <w:shd w:val="clear" w:fill="auto"/>
        <w:autoSpaceDE w:val="0"/>
        <w:autoSpaceDN w:val="0"/>
        <w:adjustRightInd w:val="0"/>
        <w:spacing w:line="360" w:lineRule="auto"/>
        <w:ind w:left="1" w:leftChars="-171" w:hanging="360" w:hangingChars="150"/>
        <w:jc w:val="left"/>
        <w:rPr>
          <w:rFonts w:ascii="宋体" w:hAnsi="宋体"/>
          <w:color w:val="000000"/>
          <w:kern w:val="0"/>
          <w:sz w:val="24"/>
          <w:highlight w:val="none"/>
        </w:rPr>
      </w:pPr>
    </w:p>
    <w:p>
      <w:pPr>
        <w:shd w:val="clear" w:fill="auto"/>
        <w:autoSpaceDE w:val="0"/>
        <w:autoSpaceDN w:val="0"/>
        <w:adjustRightInd w:val="0"/>
        <w:spacing w:line="360" w:lineRule="auto"/>
        <w:ind w:leftChars="-57" w:hanging="120" w:hangingChars="50"/>
        <w:jc w:val="left"/>
        <w:rPr>
          <w:rFonts w:ascii="宋体" w:hAnsi="宋体"/>
          <w:color w:val="000000"/>
          <w:kern w:val="0"/>
          <w:sz w:val="24"/>
          <w:highlight w:val="none"/>
        </w:rPr>
      </w:pPr>
      <w:r>
        <w:rPr>
          <w:rFonts w:hint="eastAsia" w:ascii="宋体" w:hAnsi="宋体"/>
          <w:color w:val="000000"/>
          <w:kern w:val="0"/>
          <w:sz w:val="24"/>
          <w:highlight w:val="none"/>
        </w:rPr>
        <w:t>附表四：计划开、竣工日期和施工进度网络图</w:t>
      </w:r>
    </w:p>
    <w:p>
      <w:pPr>
        <w:shd w:val="clear" w:fill="auto"/>
        <w:autoSpaceDE w:val="0"/>
        <w:autoSpaceDN w:val="0"/>
        <w:adjustRightInd w:val="0"/>
        <w:spacing w:line="360" w:lineRule="auto"/>
        <w:ind w:left="-44" w:leftChars="-21" w:firstLine="315" w:firstLineChars="150"/>
        <w:jc w:val="left"/>
        <w:rPr>
          <w:rFonts w:ascii="宋体" w:hAnsi="宋体"/>
          <w:color w:val="000000"/>
          <w:kern w:val="0"/>
          <w:highlight w:val="none"/>
        </w:rPr>
      </w:pPr>
      <w:r>
        <w:rPr>
          <w:rFonts w:hint="eastAsia" w:ascii="宋体" w:hAnsi="宋体"/>
          <w:color w:val="000000"/>
          <w:kern w:val="0"/>
          <w:highlight w:val="none"/>
        </w:rPr>
        <w:t>1. 投标人应递交施工进度网络图或施工进度表，说明按招标文件要求的计划工期进行施工的各个关键日期。</w:t>
      </w:r>
    </w:p>
    <w:p>
      <w:pPr>
        <w:shd w:val="clear" w:fill="auto"/>
        <w:autoSpaceDE w:val="0"/>
        <w:autoSpaceDN w:val="0"/>
        <w:adjustRightInd w:val="0"/>
        <w:spacing w:line="360" w:lineRule="auto"/>
        <w:ind w:firstLine="210" w:firstLineChars="100"/>
        <w:jc w:val="left"/>
        <w:rPr>
          <w:rFonts w:ascii="宋体" w:hAnsi="宋体"/>
          <w:color w:val="000000"/>
          <w:kern w:val="0"/>
          <w:highlight w:val="none"/>
        </w:rPr>
      </w:pPr>
      <w:r>
        <w:rPr>
          <w:rFonts w:hint="eastAsia" w:ascii="宋体" w:hAnsi="宋体"/>
          <w:color w:val="000000"/>
          <w:kern w:val="0"/>
          <w:highlight w:val="none"/>
        </w:rPr>
        <w:t>2. 施工进度表可采用网络图（或横道图）表示。</w:t>
      </w:r>
    </w:p>
    <w:p>
      <w:pPr>
        <w:shd w:val="clear" w:fill="auto"/>
        <w:autoSpaceDE w:val="0"/>
        <w:autoSpaceDN w:val="0"/>
        <w:adjustRightInd w:val="0"/>
        <w:spacing w:line="360" w:lineRule="auto"/>
        <w:ind w:left="-44" w:leftChars="-171" w:hanging="315" w:hangingChars="150"/>
        <w:jc w:val="left"/>
        <w:rPr>
          <w:rFonts w:ascii="宋体" w:hAnsi="宋体"/>
          <w:color w:val="000000"/>
          <w:kern w:val="0"/>
          <w:highlight w:val="none"/>
        </w:rPr>
      </w:pPr>
    </w:p>
    <w:p>
      <w:pPr>
        <w:shd w:val="clear" w:fill="auto"/>
        <w:autoSpaceDE w:val="0"/>
        <w:autoSpaceDN w:val="0"/>
        <w:adjustRightInd w:val="0"/>
        <w:spacing w:line="360" w:lineRule="auto"/>
        <w:ind w:leftChars="-57" w:hanging="120" w:hangingChars="50"/>
        <w:jc w:val="left"/>
        <w:rPr>
          <w:rFonts w:ascii="宋体" w:hAnsi="宋体"/>
          <w:color w:val="000000"/>
          <w:kern w:val="0"/>
          <w:sz w:val="24"/>
          <w:highlight w:val="none"/>
        </w:rPr>
      </w:pPr>
      <w:r>
        <w:rPr>
          <w:rFonts w:hint="eastAsia" w:ascii="宋体" w:hAnsi="宋体"/>
          <w:color w:val="000000"/>
          <w:kern w:val="0"/>
          <w:sz w:val="24"/>
          <w:highlight w:val="none"/>
        </w:rPr>
        <w:t>附表五：施工总平面图</w:t>
      </w:r>
    </w:p>
    <w:p>
      <w:pPr>
        <w:shd w:val="clear" w:fill="auto"/>
        <w:autoSpaceDE w:val="0"/>
        <w:autoSpaceDN w:val="0"/>
        <w:adjustRightInd w:val="0"/>
        <w:spacing w:line="360" w:lineRule="auto"/>
        <w:ind w:left="-44" w:leftChars="-21" w:firstLine="252" w:firstLineChars="120"/>
        <w:jc w:val="left"/>
        <w:rPr>
          <w:rFonts w:ascii="宋体" w:hAnsi="宋体"/>
          <w:color w:val="000000"/>
          <w:kern w:val="0"/>
          <w:highlight w:val="none"/>
        </w:rPr>
      </w:pPr>
      <w:r>
        <w:rPr>
          <w:rFonts w:hint="eastAsia" w:ascii="宋体" w:hAnsi="宋体"/>
          <w:color w:val="000000"/>
          <w:kern w:val="0"/>
          <w:highlight w:val="none"/>
        </w:rPr>
        <w:t>投标人应递交一份施工总平面图，绘出现场临时设施布置图表并附文字说明，说明临时设施、加工车间、现场办公、设备及仓储、供电、供水、卫生、生活、道路、消防等设施的情况和布置。</w:t>
      </w:r>
    </w:p>
    <w:p>
      <w:pPr>
        <w:shd w:val="clear" w:fill="auto"/>
        <w:autoSpaceDE w:val="0"/>
        <w:autoSpaceDN w:val="0"/>
        <w:adjustRightInd w:val="0"/>
        <w:spacing w:line="360" w:lineRule="auto"/>
        <w:ind w:firstLine="105" w:firstLineChars="50"/>
        <w:jc w:val="left"/>
        <w:rPr>
          <w:rFonts w:ascii="宋体" w:hAnsi="宋体"/>
          <w:color w:val="000000"/>
          <w:kern w:val="0"/>
          <w:highlight w:val="none"/>
        </w:rPr>
      </w:pPr>
    </w:p>
    <w:p>
      <w:pPr>
        <w:shd w:val="clear" w:fill="auto"/>
        <w:autoSpaceDE w:val="0"/>
        <w:autoSpaceDN w:val="0"/>
        <w:adjustRightInd w:val="0"/>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br w:type="page"/>
      </w:r>
    </w:p>
    <w:p>
      <w:pPr>
        <w:shd w:val="clear" w:fill="auto"/>
        <w:autoSpaceDE w:val="0"/>
        <w:autoSpaceDN w:val="0"/>
        <w:adjustRightInd w:val="0"/>
        <w:spacing w:line="360" w:lineRule="auto"/>
        <w:jc w:val="left"/>
        <w:rPr>
          <w:rFonts w:ascii="宋体" w:hAnsi="宋体"/>
          <w:color w:val="000000"/>
          <w:kern w:val="0"/>
          <w:sz w:val="24"/>
          <w:highlight w:val="none"/>
        </w:rPr>
      </w:pPr>
      <w:r>
        <w:rPr>
          <w:rFonts w:hint="eastAsia" w:ascii="宋体" w:hAnsi="宋体"/>
          <w:color w:val="000000"/>
          <w:kern w:val="0"/>
          <w:sz w:val="24"/>
          <w:highlight w:val="none"/>
        </w:rPr>
        <w:t>附表六：临时用地表</w:t>
      </w:r>
    </w:p>
    <w:tbl>
      <w:tblPr>
        <w:tblStyle w:val="28"/>
        <w:tblW w:w="9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13"/>
        <w:gridCol w:w="2620"/>
        <w:gridCol w:w="2593"/>
        <w:gridCol w:w="13"/>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07" w:type="dxa"/>
            <w:gridSpan w:val="2"/>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用途</w:t>
            </w:r>
          </w:p>
        </w:tc>
        <w:tc>
          <w:tcPr>
            <w:tcW w:w="2620"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面积（平方米）</w:t>
            </w:r>
          </w:p>
        </w:tc>
        <w:tc>
          <w:tcPr>
            <w:tcW w:w="2606" w:type="dxa"/>
            <w:gridSpan w:val="2"/>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位置</w:t>
            </w:r>
          </w:p>
        </w:tc>
        <w:tc>
          <w:tcPr>
            <w:tcW w:w="2290"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trPr>
        <w:tc>
          <w:tcPr>
            <w:tcW w:w="209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2633" w:type="dxa"/>
            <w:gridSpan w:val="2"/>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2593"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2303" w:type="dxa"/>
            <w:gridSpan w:val="2"/>
            <w:vAlign w:val="top"/>
          </w:tcPr>
          <w:p>
            <w:pPr>
              <w:shd w:val="clear" w:fill="auto"/>
              <w:autoSpaceDE w:val="0"/>
              <w:autoSpaceDN w:val="0"/>
              <w:adjustRightInd w:val="0"/>
              <w:spacing w:line="360" w:lineRule="auto"/>
              <w:jc w:val="left"/>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9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2633" w:type="dxa"/>
            <w:gridSpan w:val="2"/>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2593"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2303" w:type="dxa"/>
            <w:gridSpan w:val="2"/>
            <w:vAlign w:val="top"/>
          </w:tcPr>
          <w:p>
            <w:pPr>
              <w:shd w:val="clear" w:fill="auto"/>
              <w:autoSpaceDE w:val="0"/>
              <w:autoSpaceDN w:val="0"/>
              <w:adjustRightInd w:val="0"/>
              <w:spacing w:line="360" w:lineRule="auto"/>
              <w:jc w:val="left"/>
              <w:rPr>
                <w:rFonts w:ascii="宋体" w:hAnsi="宋体"/>
                <w:color w:val="000000"/>
                <w:kern w:val="0"/>
                <w:highlight w:val="none"/>
              </w:rPr>
            </w:pPr>
          </w:p>
        </w:tc>
      </w:tr>
    </w:tbl>
    <w:p>
      <w:pPr>
        <w:shd w:val="clear" w:fill="FFFFFF" w:themeFill="background1"/>
        <w:autoSpaceDE w:val="0"/>
        <w:autoSpaceDN w:val="0"/>
        <w:adjustRightInd w:val="0"/>
        <w:spacing w:before="156" w:beforeLines="50" w:line="360" w:lineRule="auto"/>
        <w:ind w:left="-359" w:leftChars="-171"/>
        <w:jc w:val="center"/>
        <w:outlineLvl w:val="2"/>
        <w:rPr>
          <w:rFonts w:ascii="宋体" w:hAnsi="宋体"/>
          <w:b/>
          <w:color w:val="000000"/>
          <w:kern w:val="0"/>
          <w:sz w:val="32"/>
          <w:highlight w:val="none"/>
        </w:rPr>
        <w:sectPr>
          <w:pgSz w:w="11905" w:h="16838"/>
          <w:pgMar w:top="1247" w:right="1247" w:bottom="1247" w:left="1247" w:header="850" w:footer="992" w:gutter="0"/>
          <w:pgNumType w:fmt="decimal"/>
          <w:cols w:space="0" w:num="1"/>
          <w:titlePg/>
          <w:rtlGutter w:val="0"/>
          <w:docGrid w:type="lines" w:linePitch="319" w:charSpace="0"/>
        </w:sectPr>
      </w:pPr>
      <w:bookmarkStart w:id="893" w:name="_Toc331007002"/>
      <w:bookmarkStart w:id="894" w:name="_Toc359399430"/>
    </w:p>
    <w:p>
      <w:pPr>
        <w:shd w:val="clear" w:fill="auto"/>
        <w:autoSpaceDE w:val="0"/>
        <w:autoSpaceDN w:val="0"/>
        <w:adjustRightInd w:val="0"/>
        <w:spacing w:before="156" w:beforeLines="50" w:line="360" w:lineRule="auto"/>
        <w:ind w:left="-359" w:leftChars="-171"/>
        <w:jc w:val="center"/>
        <w:outlineLvl w:val="2"/>
        <w:rPr>
          <w:rFonts w:ascii="宋体" w:hAnsi="宋体"/>
          <w:b/>
          <w:color w:val="000000"/>
          <w:kern w:val="0"/>
          <w:sz w:val="32"/>
          <w:highlight w:val="none"/>
        </w:rPr>
      </w:pPr>
      <w:bookmarkStart w:id="895" w:name="_Toc2827"/>
      <w:bookmarkStart w:id="896" w:name="_Toc24904"/>
      <w:bookmarkStart w:id="897" w:name="_Toc24207"/>
      <w:bookmarkStart w:id="898" w:name="_Toc30563"/>
      <w:r>
        <w:rPr>
          <w:rFonts w:hint="eastAsia" w:ascii="宋体" w:hAnsi="宋体"/>
          <w:b/>
          <w:color w:val="000000"/>
          <w:kern w:val="0"/>
          <w:sz w:val="32"/>
          <w:highlight w:val="none"/>
          <w:lang w:val="en-US" w:eastAsia="zh-CN"/>
        </w:rPr>
        <w:t>六</w:t>
      </w:r>
      <w:r>
        <w:rPr>
          <w:rFonts w:hint="eastAsia" w:ascii="宋体" w:hAnsi="宋体"/>
          <w:b/>
          <w:color w:val="000000"/>
          <w:kern w:val="0"/>
          <w:sz w:val="32"/>
          <w:highlight w:val="none"/>
        </w:rPr>
        <w:t>、项目管理机构</w:t>
      </w:r>
      <w:bookmarkEnd w:id="893"/>
      <w:bookmarkEnd w:id="894"/>
      <w:bookmarkEnd w:id="895"/>
      <w:bookmarkEnd w:id="896"/>
      <w:bookmarkEnd w:id="897"/>
      <w:bookmarkEnd w:id="898"/>
    </w:p>
    <w:p>
      <w:pPr>
        <w:shd w:val="clear" w:fill="auto"/>
        <w:spacing w:line="360" w:lineRule="auto"/>
        <w:rPr>
          <w:rFonts w:ascii="宋体" w:hAnsi="宋体"/>
          <w:color w:val="000000"/>
          <w:highlight w:val="none"/>
        </w:rPr>
      </w:pPr>
      <w:r>
        <w:rPr>
          <w:rFonts w:hint="eastAsia" w:ascii="宋体" w:hAnsi="宋体"/>
          <w:color w:val="000000"/>
          <w:highlight w:val="none"/>
        </w:rPr>
        <w:t>（一）项目管理机构组成表</w:t>
      </w:r>
    </w:p>
    <w:tbl>
      <w:tblPr>
        <w:tblStyle w:val="28"/>
        <w:tblW w:w="9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940"/>
        <w:gridCol w:w="816"/>
        <w:gridCol w:w="1436"/>
        <w:gridCol w:w="1044"/>
        <w:gridCol w:w="932"/>
        <w:gridCol w:w="932"/>
        <w:gridCol w:w="1554"/>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37" w:type="dxa"/>
            <w:vMerge w:val="restart"/>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职务</w:t>
            </w:r>
          </w:p>
        </w:tc>
        <w:tc>
          <w:tcPr>
            <w:tcW w:w="940" w:type="dxa"/>
            <w:vMerge w:val="restart"/>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姓名</w:t>
            </w:r>
          </w:p>
        </w:tc>
        <w:tc>
          <w:tcPr>
            <w:tcW w:w="816" w:type="dxa"/>
            <w:vMerge w:val="restart"/>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职称</w:t>
            </w:r>
          </w:p>
        </w:tc>
        <w:tc>
          <w:tcPr>
            <w:tcW w:w="5898" w:type="dxa"/>
            <w:gridSpan w:val="5"/>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执业或职业资格证明</w:t>
            </w:r>
          </w:p>
        </w:tc>
        <w:tc>
          <w:tcPr>
            <w:tcW w:w="932"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37" w:type="dxa"/>
            <w:vMerge w:val="continue"/>
            <w:vAlign w:val="center"/>
          </w:tcPr>
          <w:p>
            <w:pPr>
              <w:shd w:val="clear" w:fill="auto"/>
              <w:autoSpaceDE w:val="0"/>
              <w:autoSpaceDN w:val="0"/>
              <w:adjustRightInd w:val="0"/>
              <w:spacing w:line="360" w:lineRule="auto"/>
              <w:jc w:val="center"/>
              <w:rPr>
                <w:rFonts w:ascii="宋体" w:hAnsi="宋体"/>
                <w:color w:val="000000"/>
                <w:kern w:val="0"/>
                <w:highlight w:val="none"/>
              </w:rPr>
            </w:pPr>
          </w:p>
        </w:tc>
        <w:tc>
          <w:tcPr>
            <w:tcW w:w="940" w:type="dxa"/>
            <w:vMerge w:val="continue"/>
            <w:vAlign w:val="center"/>
          </w:tcPr>
          <w:p>
            <w:pPr>
              <w:shd w:val="clear" w:fill="auto"/>
              <w:autoSpaceDE w:val="0"/>
              <w:autoSpaceDN w:val="0"/>
              <w:adjustRightInd w:val="0"/>
              <w:spacing w:line="360" w:lineRule="auto"/>
              <w:jc w:val="center"/>
              <w:rPr>
                <w:rFonts w:ascii="宋体" w:hAnsi="宋体"/>
                <w:color w:val="000000"/>
                <w:kern w:val="0"/>
                <w:highlight w:val="none"/>
              </w:rPr>
            </w:pPr>
          </w:p>
        </w:tc>
        <w:tc>
          <w:tcPr>
            <w:tcW w:w="816" w:type="dxa"/>
            <w:vMerge w:val="continue"/>
            <w:vAlign w:val="center"/>
          </w:tcPr>
          <w:p>
            <w:pPr>
              <w:shd w:val="clear" w:fill="auto"/>
              <w:autoSpaceDE w:val="0"/>
              <w:autoSpaceDN w:val="0"/>
              <w:adjustRightInd w:val="0"/>
              <w:spacing w:line="360" w:lineRule="auto"/>
              <w:jc w:val="center"/>
              <w:rPr>
                <w:rFonts w:ascii="宋体" w:hAnsi="宋体"/>
                <w:color w:val="000000"/>
                <w:kern w:val="0"/>
                <w:highlight w:val="none"/>
              </w:rPr>
            </w:pPr>
          </w:p>
        </w:tc>
        <w:tc>
          <w:tcPr>
            <w:tcW w:w="1436"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证书名称</w:t>
            </w:r>
          </w:p>
        </w:tc>
        <w:tc>
          <w:tcPr>
            <w:tcW w:w="1044"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级别</w:t>
            </w:r>
          </w:p>
        </w:tc>
        <w:tc>
          <w:tcPr>
            <w:tcW w:w="932"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证号</w:t>
            </w:r>
          </w:p>
        </w:tc>
        <w:tc>
          <w:tcPr>
            <w:tcW w:w="932"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专业</w:t>
            </w:r>
          </w:p>
        </w:tc>
        <w:tc>
          <w:tcPr>
            <w:tcW w:w="1554"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养老保险</w:t>
            </w:r>
          </w:p>
        </w:tc>
        <w:tc>
          <w:tcPr>
            <w:tcW w:w="932" w:type="dxa"/>
            <w:vAlign w:val="center"/>
          </w:tcPr>
          <w:p>
            <w:pPr>
              <w:shd w:val="clear" w:fill="auto"/>
              <w:autoSpaceDE w:val="0"/>
              <w:autoSpaceDN w:val="0"/>
              <w:adjustRightInd w:val="0"/>
              <w:spacing w:line="360" w:lineRule="auto"/>
              <w:jc w:val="center"/>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37"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40"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81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43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04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55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37"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40"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81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43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04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55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37"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40"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81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43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04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55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37"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40"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81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43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04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55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37"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40"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81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43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04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55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37"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40"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81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43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04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55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37"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40"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81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43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04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55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37"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40"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81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43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04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55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37"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40"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81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43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04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55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37"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40"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81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43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04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55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37"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40"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81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436"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04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1554" w:type="dxa"/>
            <w:vAlign w:val="top"/>
          </w:tcPr>
          <w:p>
            <w:pPr>
              <w:shd w:val="clear" w:fill="auto"/>
              <w:autoSpaceDE w:val="0"/>
              <w:autoSpaceDN w:val="0"/>
              <w:adjustRightInd w:val="0"/>
              <w:spacing w:line="360" w:lineRule="auto"/>
              <w:jc w:val="left"/>
              <w:rPr>
                <w:rFonts w:ascii="宋体" w:hAnsi="宋体"/>
                <w:color w:val="000000"/>
                <w:kern w:val="0"/>
                <w:highlight w:val="none"/>
              </w:rPr>
            </w:pPr>
          </w:p>
        </w:tc>
        <w:tc>
          <w:tcPr>
            <w:tcW w:w="932" w:type="dxa"/>
            <w:vAlign w:val="top"/>
          </w:tcPr>
          <w:p>
            <w:pPr>
              <w:shd w:val="clear" w:fill="auto"/>
              <w:autoSpaceDE w:val="0"/>
              <w:autoSpaceDN w:val="0"/>
              <w:adjustRightInd w:val="0"/>
              <w:spacing w:line="360" w:lineRule="auto"/>
              <w:jc w:val="left"/>
              <w:rPr>
                <w:rFonts w:ascii="宋体" w:hAnsi="宋体"/>
                <w:color w:val="000000"/>
                <w:kern w:val="0"/>
                <w:highlight w:val="none"/>
              </w:rPr>
            </w:pPr>
          </w:p>
        </w:tc>
      </w:tr>
    </w:tbl>
    <w:p>
      <w:pPr>
        <w:shd w:val="clear" w:fill="auto"/>
        <w:spacing w:line="360" w:lineRule="auto"/>
        <w:rPr>
          <w:rFonts w:hint="eastAsia" w:ascii="宋体" w:hAnsi="宋体"/>
          <w:color w:val="000000"/>
          <w:highlight w:val="none"/>
        </w:rPr>
      </w:pPr>
    </w:p>
    <w:p>
      <w:pPr>
        <w:shd w:val="clear" w:fill="auto"/>
        <w:spacing w:line="360" w:lineRule="auto"/>
        <w:rPr>
          <w:rFonts w:hint="eastAsia" w:ascii="宋体" w:hAnsi="宋体"/>
          <w:color w:val="000000"/>
          <w:highlight w:val="none"/>
        </w:rPr>
      </w:pPr>
    </w:p>
    <w:p>
      <w:pPr>
        <w:shd w:val="clear" w:fill="auto"/>
        <w:spacing w:line="360" w:lineRule="auto"/>
        <w:rPr>
          <w:rFonts w:hint="eastAsia" w:ascii="宋体" w:hAnsi="宋体"/>
          <w:color w:val="000000"/>
          <w:highlight w:val="none"/>
        </w:rPr>
      </w:pPr>
    </w:p>
    <w:p>
      <w:pPr>
        <w:shd w:val="clear" w:fill="auto"/>
        <w:spacing w:line="360" w:lineRule="auto"/>
        <w:rPr>
          <w:rFonts w:hint="eastAsia" w:ascii="宋体" w:hAnsi="宋体"/>
          <w:color w:val="000000"/>
          <w:highlight w:val="none"/>
        </w:rPr>
      </w:pPr>
    </w:p>
    <w:p>
      <w:pPr>
        <w:shd w:val="clear" w:fill="auto"/>
        <w:spacing w:line="360" w:lineRule="auto"/>
        <w:rPr>
          <w:rFonts w:hint="eastAsia" w:ascii="宋体" w:hAnsi="宋体"/>
          <w:color w:val="000000"/>
          <w:highlight w:val="none"/>
        </w:rPr>
      </w:pPr>
    </w:p>
    <w:p>
      <w:pPr>
        <w:shd w:val="clear" w:fill="auto"/>
        <w:spacing w:line="360" w:lineRule="auto"/>
        <w:rPr>
          <w:rFonts w:hint="eastAsia" w:ascii="宋体" w:hAnsi="宋体"/>
          <w:color w:val="000000"/>
          <w:highlight w:val="none"/>
        </w:rPr>
      </w:pPr>
    </w:p>
    <w:p>
      <w:pPr>
        <w:shd w:val="clear" w:fill="auto"/>
        <w:spacing w:line="360" w:lineRule="auto"/>
        <w:rPr>
          <w:rFonts w:hint="eastAsia" w:ascii="宋体" w:hAnsi="宋体"/>
          <w:color w:val="000000"/>
          <w:highlight w:val="none"/>
        </w:rPr>
      </w:pPr>
    </w:p>
    <w:p>
      <w:pPr>
        <w:shd w:val="clear" w:fill="auto"/>
        <w:spacing w:line="360" w:lineRule="auto"/>
        <w:rPr>
          <w:rFonts w:hint="eastAsia" w:ascii="宋体" w:hAnsi="宋体"/>
          <w:color w:val="000000"/>
          <w:highlight w:val="none"/>
        </w:rPr>
      </w:pPr>
    </w:p>
    <w:p>
      <w:pPr>
        <w:shd w:val="clear" w:fill="auto"/>
        <w:spacing w:line="360" w:lineRule="auto"/>
        <w:rPr>
          <w:rFonts w:hint="eastAsia" w:ascii="宋体" w:hAnsi="宋体"/>
          <w:color w:val="000000"/>
          <w:highlight w:val="none"/>
        </w:rPr>
      </w:pPr>
    </w:p>
    <w:p>
      <w:pPr>
        <w:shd w:val="clear" w:fill="auto"/>
        <w:spacing w:line="360" w:lineRule="auto"/>
        <w:rPr>
          <w:rFonts w:hint="eastAsia" w:ascii="宋体" w:hAnsi="宋体"/>
          <w:color w:val="000000"/>
          <w:highlight w:val="none"/>
        </w:rPr>
      </w:pPr>
    </w:p>
    <w:p>
      <w:pPr>
        <w:shd w:val="clear" w:fill="auto"/>
        <w:spacing w:line="360" w:lineRule="auto"/>
        <w:rPr>
          <w:rFonts w:hint="eastAsia" w:ascii="宋体" w:hAnsi="宋体"/>
          <w:color w:val="000000"/>
          <w:highlight w:val="none"/>
        </w:rPr>
      </w:pPr>
    </w:p>
    <w:p>
      <w:pPr>
        <w:pStyle w:val="27"/>
        <w:shd w:val="clear" w:fill="auto"/>
        <w:rPr>
          <w:rFonts w:hint="eastAsia"/>
          <w:highlight w:val="none"/>
        </w:rPr>
      </w:pPr>
    </w:p>
    <w:p>
      <w:pPr>
        <w:shd w:val="clear" w:fill="auto"/>
        <w:spacing w:line="360" w:lineRule="auto"/>
        <w:rPr>
          <w:rFonts w:hint="eastAsia" w:ascii="宋体" w:hAnsi="宋体"/>
          <w:color w:val="000000"/>
          <w:highlight w:val="none"/>
        </w:rPr>
      </w:pPr>
    </w:p>
    <w:p>
      <w:pPr>
        <w:shd w:val="clear" w:fill="auto"/>
        <w:spacing w:line="360" w:lineRule="auto"/>
        <w:rPr>
          <w:rFonts w:hint="eastAsia" w:ascii="宋体" w:hAnsi="宋体"/>
          <w:color w:val="000000"/>
          <w:highlight w:val="none"/>
        </w:rPr>
      </w:pPr>
    </w:p>
    <w:p>
      <w:pPr>
        <w:shd w:val="clear" w:fill="auto"/>
        <w:autoSpaceDN w:val="0"/>
        <w:spacing w:line="360" w:lineRule="auto"/>
        <w:jc w:val="both"/>
        <w:rPr>
          <w:rFonts w:hint="eastAsia" w:ascii="宋体" w:hAnsi="宋体" w:eastAsia="宋体" w:cs="宋体"/>
          <w:color w:val="auto"/>
          <w:kern w:val="2"/>
          <w:sz w:val="21"/>
          <w:highlight w:val="none"/>
        </w:rPr>
      </w:pPr>
      <w:bookmarkStart w:id="899" w:name="_Toc359399431"/>
      <w:bookmarkStart w:id="900" w:name="_Toc331007003"/>
      <w:r>
        <w:rPr>
          <w:rFonts w:hint="eastAsia" w:ascii="宋体" w:hAnsi="宋体" w:eastAsia="宋体" w:cs="宋体"/>
          <w:color w:val="auto"/>
          <w:kern w:val="2"/>
          <w:sz w:val="21"/>
          <w:highlight w:val="none"/>
        </w:rPr>
        <w:t>（二）主要人员简历表</w:t>
      </w:r>
    </w:p>
    <w:p>
      <w:pPr>
        <w:shd w:val="clear" w:fill="auto"/>
        <w:autoSpaceDE w:val="0"/>
        <w:autoSpaceDN w:val="0"/>
        <w:spacing w:line="360" w:lineRule="auto"/>
        <w:ind w:firstLine="42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 xml:space="preserve"> “主要人员简历表”中的项目</w:t>
      </w:r>
      <w:r>
        <w:rPr>
          <w:rFonts w:hint="eastAsia" w:ascii="宋体" w:hAnsi="宋体" w:cs="宋体"/>
          <w:color w:val="auto"/>
          <w:sz w:val="21"/>
          <w:highlight w:val="none"/>
          <w:lang w:eastAsia="zh-CN"/>
        </w:rPr>
        <w:t>负责人</w:t>
      </w:r>
      <w:r>
        <w:rPr>
          <w:rFonts w:hint="eastAsia" w:ascii="宋体" w:hAnsi="宋体" w:eastAsia="宋体" w:cs="宋体"/>
          <w:color w:val="auto"/>
          <w:sz w:val="21"/>
          <w:highlight w:val="none"/>
        </w:rPr>
        <w:t>应附项目</w:t>
      </w:r>
      <w:r>
        <w:rPr>
          <w:rFonts w:hint="eastAsia" w:ascii="宋体" w:hAnsi="宋体" w:cs="宋体"/>
          <w:color w:val="auto"/>
          <w:sz w:val="21"/>
          <w:highlight w:val="none"/>
          <w:lang w:eastAsia="zh-CN"/>
        </w:rPr>
        <w:t>负责人注册建造师证书、</w:t>
      </w:r>
      <w:r>
        <w:rPr>
          <w:rFonts w:hint="eastAsia" w:ascii="宋体" w:hAnsi="宋体" w:eastAsia="宋体" w:cs="宋体"/>
          <w:color w:val="auto"/>
          <w:sz w:val="21"/>
          <w:highlight w:val="none"/>
          <w:lang w:eastAsia="zh-CN"/>
        </w:rPr>
        <w:t>劳动合同、</w:t>
      </w:r>
      <w:r>
        <w:rPr>
          <w:rFonts w:hint="eastAsia" w:ascii="宋体" w:hAnsi="宋体" w:eastAsia="宋体" w:cs="宋体"/>
          <w:color w:val="auto"/>
          <w:sz w:val="21"/>
          <w:szCs w:val="21"/>
          <w:highlight w:val="none"/>
          <w:lang w:val="en-US" w:eastAsia="zh-CN" w:bidi="ar-SA"/>
        </w:rPr>
        <w:t>社会保险证明</w:t>
      </w:r>
      <w:r>
        <w:rPr>
          <w:rFonts w:hint="eastAsia" w:ascii="宋体" w:hAnsi="宋体" w:eastAsia="宋体" w:cs="宋体"/>
          <w:color w:val="auto"/>
          <w:sz w:val="21"/>
          <w:highlight w:val="none"/>
          <w:lang w:val="en-US" w:eastAsia="zh-CN"/>
        </w:rPr>
        <w:t>等相关材料的复印件或扫描件</w:t>
      </w:r>
      <w:r>
        <w:rPr>
          <w:rFonts w:hint="eastAsia" w:ascii="宋体" w:hAnsi="宋体" w:eastAsia="宋体" w:cs="宋体"/>
          <w:color w:val="auto"/>
          <w:sz w:val="21"/>
          <w:highlight w:val="none"/>
        </w:rPr>
        <w:t>；其他主要人员应附执业证或上岗证书</w:t>
      </w:r>
      <w:r>
        <w:rPr>
          <w:rFonts w:hint="eastAsia" w:ascii="宋体" w:hAnsi="宋体" w:cs="宋体"/>
          <w:color w:val="auto"/>
          <w:sz w:val="21"/>
          <w:highlight w:val="none"/>
          <w:lang w:eastAsia="zh-CN"/>
        </w:rPr>
        <w:t>等相关</w:t>
      </w:r>
      <w:r>
        <w:rPr>
          <w:rFonts w:hint="eastAsia" w:ascii="宋体" w:hAnsi="宋体" w:eastAsia="宋体" w:cs="宋体"/>
          <w:color w:val="auto"/>
          <w:sz w:val="21"/>
          <w:highlight w:val="none"/>
          <w:lang w:val="en-US" w:eastAsia="zh-CN"/>
        </w:rPr>
        <w:t>的复印件或扫描件</w:t>
      </w:r>
      <w:r>
        <w:rPr>
          <w:rFonts w:hint="eastAsia" w:ascii="宋体" w:hAnsi="宋体" w:eastAsia="宋体" w:cs="宋体"/>
          <w:color w:val="auto"/>
          <w:sz w:val="21"/>
          <w:highlight w:val="none"/>
        </w:rPr>
        <w:t>。以上人员均须是本单位人员，并具有本单位缴纳的社会保险证明。</w:t>
      </w:r>
    </w:p>
    <w:tbl>
      <w:tblPr>
        <w:tblStyle w:val="28"/>
        <w:tblW w:w="962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280"/>
        <w:gridCol w:w="1728"/>
        <w:gridCol w:w="979"/>
        <w:gridCol w:w="747"/>
        <w:gridCol w:w="618"/>
        <w:gridCol w:w="1851"/>
        <w:gridCol w:w="246"/>
        <w:gridCol w:w="217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hd w:val="clear" w:fill="auto"/>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1"/>
                <w:highlight w:val="none"/>
              </w:rPr>
              <w:t>姓名</w:t>
            </w:r>
          </w:p>
        </w:tc>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hd w:val="clear" w:fill="auto"/>
              <w:autoSpaceDE w:val="0"/>
              <w:autoSpaceDN w:val="0"/>
              <w:spacing w:line="360" w:lineRule="auto"/>
              <w:jc w:val="center"/>
              <w:rPr>
                <w:rFonts w:hint="eastAsia" w:ascii="宋体" w:hAnsi="宋体" w:eastAsia="宋体" w:cs="宋体"/>
                <w:color w:val="auto"/>
                <w:sz w:val="24"/>
                <w:highlight w:val="none"/>
              </w:rPr>
            </w:pPr>
          </w:p>
        </w:tc>
        <w:tc>
          <w:tcPr>
            <w:tcW w:w="9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hd w:val="clear" w:fill="auto"/>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1"/>
                <w:highlight w:val="none"/>
              </w:rPr>
              <w:t>年龄</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hd w:val="clear" w:fill="auto"/>
              <w:autoSpaceDE w:val="0"/>
              <w:autoSpaceDN w:val="0"/>
              <w:spacing w:line="360" w:lineRule="auto"/>
              <w:jc w:val="center"/>
              <w:rPr>
                <w:rFonts w:hint="eastAsia" w:ascii="宋体" w:hAnsi="宋体" w:eastAsia="宋体" w:cs="宋体"/>
                <w:color w:val="auto"/>
                <w:sz w:val="24"/>
                <w:highlight w:val="none"/>
              </w:rPr>
            </w:pPr>
          </w:p>
        </w:tc>
        <w:tc>
          <w:tcPr>
            <w:tcW w:w="209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hd w:val="clear" w:fill="auto"/>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1"/>
                <w:highlight w:val="none"/>
              </w:rPr>
              <w:t>学历</w:t>
            </w:r>
          </w:p>
        </w:tc>
        <w:tc>
          <w:tcPr>
            <w:tcW w:w="21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hd w:val="clear" w:fill="auto"/>
              <w:autoSpaceDE w:val="0"/>
              <w:autoSpaceDN w:val="0"/>
              <w:spacing w:line="360" w:lineRule="auto"/>
              <w:jc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hd w:val="clear" w:fill="auto"/>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1"/>
                <w:highlight w:val="none"/>
              </w:rPr>
              <w:t>职称</w:t>
            </w:r>
          </w:p>
        </w:tc>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hd w:val="clear" w:fill="auto"/>
              <w:autoSpaceDE w:val="0"/>
              <w:autoSpaceDN w:val="0"/>
              <w:spacing w:line="360" w:lineRule="auto"/>
              <w:jc w:val="center"/>
              <w:rPr>
                <w:rFonts w:hint="eastAsia" w:ascii="宋体" w:hAnsi="宋体" w:eastAsia="宋体" w:cs="宋体"/>
                <w:color w:val="auto"/>
                <w:sz w:val="24"/>
                <w:highlight w:val="none"/>
              </w:rPr>
            </w:pPr>
          </w:p>
        </w:tc>
        <w:tc>
          <w:tcPr>
            <w:tcW w:w="9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hd w:val="clear" w:fill="auto"/>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1"/>
                <w:highlight w:val="none"/>
              </w:rPr>
              <w:t>职务</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hd w:val="clear" w:fill="auto"/>
              <w:autoSpaceDE w:val="0"/>
              <w:autoSpaceDN w:val="0"/>
              <w:spacing w:line="360" w:lineRule="auto"/>
              <w:jc w:val="center"/>
              <w:rPr>
                <w:rFonts w:hint="eastAsia" w:ascii="宋体" w:hAnsi="宋体" w:eastAsia="宋体" w:cs="宋体"/>
                <w:color w:val="auto"/>
                <w:sz w:val="24"/>
                <w:highlight w:val="none"/>
              </w:rPr>
            </w:pPr>
          </w:p>
        </w:tc>
        <w:tc>
          <w:tcPr>
            <w:tcW w:w="209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hd w:val="clear" w:fill="auto"/>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1"/>
                <w:highlight w:val="none"/>
              </w:rPr>
              <w:t>拟在本合同任职</w:t>
            </w:r>
          </w:p>
        </w:tc>
        <w:tc>
          <w:tcPr>
            <w:tcW w:w="21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hd w:val="clear" w:fill="auto"/>
              <w:autoSpaceDE w:val="0"/>
              <w:autoSpaceDN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1"/>
                <w:highlight w:val="none"/>
              </w:rPr>
              <w:t>毕业学校</w:t>
            </w:r>
          </w:p>
        </w:tc>
        <w:tc>
          <w:tcPr>
            <w:tcW w:w="8341"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hd w:val="clear" w:fill="auto"/>
              <w:autoSpaceDE w:val="0"/>
              <w:autoSpaceDN w:val="0"/>
              <w:spacing w:line="360" w:lineRule="auto"/>
              <w:ind w:firstLine="1050"/>
              <w:rPr>
                <w:rFonts w:hint="eastAsia" w:ascii="宋体" w:hAnsi="宋体" w:eastAsia="宋体" w:cs="宋体"/>
                <w:color w:val="auto"/>
                <w:sz w:val="24"/>
                <w:highlight w:val="none"/>
              </w:rPr>
            </w:pPr>
            <w:r>
              <w:rPr>
                <w:rFonts w:hint="eastAsia" w:ascii="宋体" w:hAnsi="宋体" w:eastAsia="宋体" w:cs="宋体"/>
                <w:color w:val="auto"/>
                <w:sz w:val="21"/>
                <w:highlight w:val="none"/>
              </w:rPr>
              <w:t>年毕业于     学校      专业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621"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hd w:val="clear" w:fill="auto"/>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1"/>
                <w:highlight w:val="none"/>
              </w:rPr>
              <w:t>主要工作经历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hd w:val="clear" w:fill="auto"/>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1"/>
                <w:highlight w:val="none"/>
              </w:rPr>
              <w:t>时间</w:t>
            </w:r>
          </w:p>
        </w:tc>
        <w:tc>
          <w:tcPr>
            <w:tcW w:w="345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hd w:val="clear" w:fill="auto"/>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1"/>
                <w:highlight w:val="none"/>
              </w:rPr>
              <w:t>参加过的类似项目</w:t>
            </w:r>
          </w:p>
        </w:tc>
        <w:tc>
          <w:tcPr>
            <w:tcW w:w="24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hd w:val="clear" w:fill="auto"/>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1"/>
                <w:highlight w:val="none"/>
              </w:rPr>
              <w:t>担任职务</w:t>
            </w:r>
          </w:p>
        </w:tc>
        <w:tc>
          <w:tcPr>
            <w:tcW w:w="241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hd w:val="clear" w:fill="auto"/>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1"/>
                <w:highlight w:val="none"/>
              </w:rPr>
              <w:t>建设单位及联系电话</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345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jc w:val="center"/>
              <w:rPr>
                <w:rFonts w:hint="eastAsia" w:ascii="宋体" w:hAnsi="宋体" w:eastAsia="宋体" w:cs="宋体"/>
                <w:color w:val="auto"/>
                <w:sz w:val="24"/>
                <w:highlight w:val="none"/>
              </w:rPr>
            </w:pPr>
          </w:p>
        </w:tc>
        <w:tc>
          <w:tcPr>
            <w:tcW w:w="24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241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345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jc w:val="center"/>
              <w:rPr>
                <w:rFonts w:hint="eastAsia" w:ascii="宋体" w:hAnsi="宋体" w:eastAsia="宋体" w:cs="宋体"/>
                <w:color w:val="auto"/>
                <w:sz w:val="24"/>
                <w:highlight w:val="none"/>
              </w:rPr>
            </w:pPr>
          </w:p>
        </w:tc>
        <w:tc>
          <w:tcPr>
            <w:tcW w:w="24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241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345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jc w:val="center"/>
              <w:rPr>
                <w:rFonts w:hint="eastAsia" w:ascii="宋体" w:hAnsi="宋体" w:eastAsia="宋体" w:cs="宋体"/>
                <w:color w:val="auto"/>
                <w:sz w:val="24"/>
                <w:highlight w:val="none"/>
              </w:rPr>
            </w:pPr>
          </w:p>
        </w:tc>
        <w:tc>
          <w:tcPr>
            <w:tcW w:w="24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241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345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jc w:val="center"/>
              <w:rPr>
                <w:rFonts w:hint="eastAsia" w:ascii="宋体" w:hAnsi="宋体" w:eastAsia="宋体" w:cs="宋体"/>
                <w:color w:val="auto"/>
                <w:sz w:val="24"/>
                <w:highlight w:val="none"/>
              </w:rPr>
            </w:pPr>
          </w:p>
        </w:tc>
        <w:tc>
          <w:tcPr>
            <w:tcW w:w="24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241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345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jc w:val="center"/>
              <w:rPr>
                <w:rFonts w:hint="eastAsia" w:ascii="宋体" w:hAnsi="宋体" w:eastAsia="宋体" w:cs="宋体"/>
                <w:color w:val="auto"/>
                <w:sz w:val="24"/>
                <w:highlight w:val="none"/>
              </w:rPr>
            </w:pPr>
          </w:p>
        </w:tc>
        <w:tc>
          <w:tcPr>
            <w:tcW w:w="24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241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345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jc w:val="center"/>
              <w:rPr>
                <w:rFonts w:hint="eastAsia" w:ascii="宋体" w:hAnsi="宋体" w:eastAsia="宋体" w:cs="宋体"/>
                <w:color w:val="auto"/>
                <w:sz w:val="24"/>
                <w:highlight w:val="none"/>
              </w:rPr>
            </w:pPr>
          </w:p>
        </w:tc>
        <w:tc>
          <w:tcPr>
            <w:tcW w:w="24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241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345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jc w:val="center"/>
              <w:rPr>
                <w:rFonts w:hint="eastAsia" w:ascii="宋体" w:hAnsi="宋体" w:eastAsia="宋体" w:cs="宋体"/>
                <w:color w:val="auto"/>
                <w:sz w:val="24"/>
                <w:highlight w:val="none"/>
              </w:rPr>
            </w:pPr>
          </w:p>
        </w:tc>
        <w:tc>
          <w:tcPr>
            <w:tcW w:w="24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241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345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jc w:val="center"/>
              <w:rPr>
                <w:rFonts w:hint="eastAsia" w:ascii="宋体" w:hAnsi="宋体" w:eastAsia="宋体" w:cs="宋体"/>
                <w:color w:val="auto"/>
                <w:sz w:val="24"/>
                <w:highlight w:val="none"/>
              </w:rPr>
            </w:pPr>
          </w:p>
        </w:tc>
        <w:tc>
          <w:tcPr>
            <w:tcW w:w="24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241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345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jc w:val="center"/>
              <w:rPr>
                <w:rFonts w:hint="eastAsia" w:ascii="宋体" w:hAnsi="宋体" w:eastAsia="宋体" w:cs="宋体"/>
                <w:color w:val="auto"/>
                <w:sz w:val="24"/>
                <w:highlight w:val="none"/>
              </w:rPr>
            </w:pPr>
          </w:p>
        </w:tc>
        <w:tc>
          <w:tcPr>
            <w:tcW w:w="24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241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345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jc w:val="center"/>
              <w:rPr>
                <w:rFonts w:hint="eastAsia" w:ascii="宋体" w:hAnsi="宋体" w:eastAsia="宋体" w:cs="宋体"/>
                <w:color w:val="auto"/>
                <w:sz w:val="24"/>
                <w:highlight w:val="none"/>
              </w:rPr>
            </w:pPr>
          </w:p>
        </w:tc>
        <w:tc>
          <w:tcPr>
            <w:tcW w:w="24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241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345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jc w:val="center"/>
              <w:rPr>
                <w:rFonts w:hint="eastAsia" w:ascii="宋体" w:hAnsi="宋体" w:eastAsia="宋体" w:cs="宋体"/>
                <w:color w:val="auto"/>
                <w:sz w:val="24"/>
                <w:highlight w:val="none"/>
              </w:rPr>
            </w:pPr>
          </w:p>
        </w:tc>
        <w:tc>
          <w:tcPr>
            <w:tcW w:w="24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c>
          <w:tcPr>
            <w:tcW w:w="241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hd w:val="clear" w:fill="auto"/>
              <w:autoSpaceDE w:val="0"/>
              <w:autoSpaceDN w:val="0"/>
              <w:spacing w:line="360" w:lineRule="auto"/>
              <w:rPr>
                <w:rFonts w:hint="eastAsia" w:ascii="宋体" w:hAnsi="宋体" w:eastAsia="宋体" w:cs="宋体"/>
                <w:color w:val="auto"/>
                <w:sz w:val="24"/>
                <w:highlight w:val="none"/>
              </w:rPr>
            </w:pPr>
          </w:p>
        </w:tc>
      </w:tr>
    </w:tbl>
    <w:p>
      <w:pPr>
        <w:shd w:val="clear" w:fill="auto"/>
        <w:autoSpaceDE w:val="0"/>
        <w:autoSpaceDN w:val="0"/>
        <w:adjustRightInd w:val="0"/>
        <w:spacing w:before="156" w:beforeLines="50" w:line="360" w:lineRule="auto"/>
        <w:ind w:left="-359" w:leftChars="-171"/>
        <w:jc w:val="center"/>
        <w:outlineLvl w:val="9"/>
        <w:rPr>
          <w:rFonts w:hint="eastAsia" w:ascii="宋体" w:hAnsi="宋体"/>
          <w:b/>
          <w:color w:val="000000"/>
          <w:kern w:val="0"/>
          <w:sz w:val="32"/>
          <w:highlight w:val="none"/>
        </w:rPr>
      </w:pPr>
      <w:r>
        <w:rPr>
          <w:rFonts w:hint="eastAsia" w:ascii="宋体" w:hAnsi="宋体"/>
          <w:b/>
          <w:color w:val="000000"/>
          <w:kern w:val="0"/>
          <w:sz w:val="32"/>
          <w:highlight w:val="none"/>
        </w:rPr>
        <w:br w:type="page"/>
      </w:r>
    </w:p>
    <w:p>
      <w:pPr>
        <w:shd w:val="clear" w:fill="auto"/>
        <w:autoSpaceDE w:val="0"/>
        <w:autoSpaceDN w:val="0"/>
        <w:adjustRightInd w:val="0"/>
        <w:spacing w:before="156" w:beforeLines="50" w:line="360" w:lineRule="auto"/>
        <w:ind w:left="-359" w:leftChars="-171"/>
        <w:jc w:val="center"/>
        <w:outlineLvl w:val="2"/>
        <w:rPr>
          <w:rFonts w:ascii="宋体" w:hAnsi="宋体"/>
          <w:b/>
          <w:color w:val="000000"/>
          <w:kern w:val="0"/>
          <w:sz w:val="32"/>
          <w:highlight w:val="none"/>
        </w:rPr>
      </w:pPr>
      <w:bookmarkStart w:id="901" w:name="_Toc2108"/>
      <w:bookmarkStart w:id="902" w:name="_Toc18482"/>
      <w:bookmarkStart w:id="903" w:name="_Toc12149"/>
      <w:bookmarkStart w:id="904" w:name="_Toc21131"/>
      <w:r>
        <w:rPr>
          <w:rFonts w:hint="eastAsia" w:ascii="宋体" w:hAnsi="宋体"/>
          <w:b/>
          <w:color w:val="000000"/>
          <w:kern w:val="0"/>
          <w:sz w:val="32"/>
          <w:highlight w:val="none"/>
          <w:lang w:val="en-US" w:eastAsia="zh-CN"/>
        </w:rPr>
        <w:t>七</w:t>
      </w:r>
      <w:r>
        <w:rPr>
          <w:rFonts w:hint="eastAsia" w:ascii="宋体" w:hAnsi="宋体"/>
          <w:b/>
          <w:color w:val="000000"/>
          <w:kern w:val="0"/>
          <w:sz w:val="32"/>
          <w:highlight w:val="none"/>
        </w:rPr>
        <w:t>、资格审查资料</w:t>
      </w:r>
      <w:bookmarkEnd w:id="899"/>
      <w:bookmarkEnd w:id="900"/>
      <w:bookmarkEnd w:id="901"/>
      <w:bookmarkEnd w:id="902"/>
      <w:bookmarkEnd w:id="903"/>
      <w:bookmarkEnd w:id="904"/>
    </w:p>
    <w:p>
      <w:pPr>
        <w:shd w:val="clear" w:fill="auto"/>
        <w:autoSpaceDE w:val="0"/>
        <w:autoSpaceDN w:val="0"/>
        <w:adjustRightInd w:val="0"/>
        <w:spacing w:line="360" w:lineRule="auto"/>
        <w:ind w:leftChars="-1" w:hanging="2"/>
        <w:jc w:val="center"/>
        <w:rPr>
          <w:rFonts w:hint="eastAsia" w:ascii="宋体" w:hAnsi="宋体"/>
          <w:color w:val="000000"/>
          <w:kern w:val="0"/>
          <w:sz w:val="24"/>
          <w:highlight w:val="none"/>
        </w:rPr>
      </w:pPr>
      <w:r>
        <w:rPr>
          <w:rFonts w:hint="eastAsia" w:ascii="宋体" w:hAnsi="宋体"/>
          <w:color w:val="000000"/>
          <w:kern w:val="0"/>
          <w:sz w:val="24"/>
          <w:highlight w:val="none"/>
        </w:rPr>
        <w:t>（一）投标人基本情况表</w:t>
      </w:r>
    </w:p>
    <w:tbl>
      <w:tblPr>
        <w:tblStyle w:val="28"/>
        <w:tblpPr w:leftFromText="180" w:rightFromText="180" w:vertAnchor="text" w:horzAnchor="margin" w:tblpXSpec="center" w:tblpY="158"/>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942"/>
        <w:gridCol w:w="1042"/>
        <w:gridCol w:w="828"/>
        <w:gridCol w:w="593"/>
        <w:gridCol w:w="1987"/>
        <w:gridCol w:w="1623"/>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47"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投标人名称</w:t>
            </w:r>
          </w:p>
        </w:tc>
        <w:tc>
          <w:tcPr>
            <w:tcW w:w="7978" w:type="dxa"/>
            <w:gridSpan w:val="7"/>
            <w:vAlign w:val="center"/>
          </w:tcPr>
          <w:p>
            <w:pPr>
              <w:shd w:val="clear" w:fill="auto"/>
              <w:autoSpaceDE w:val="0"/>
              <w:autoSpaceDN w:val="0"/>
              <w:adjustRightInd w:val="0"/>
              <w:spacing w:line="360" w:lineRule="auto"/>
              <w:jc w:val="center"/>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47"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注册地址</w:t>
            </w:r>
          </w:p>
        </w:tc>
        <w:tc>
          <w:tcPr>
            <w:tcW w:w="5392" w:type="dxa"/>
            <w:gridSpan w:val="5"/>
            <w:vAlign w:val="center"/>
          </w:tcPr>
          <w:p>
            <w:pPr>
              <w:shd w:val="clear" w:fill="auto"/>
              <w:autoSpaceDE w:val="0"/>
              <w:autoSpaceDN w:val="0"/>
              <w:adjustRightInd w:val="0"/>
              <w:spacing w:line="360" w:lineRule="auto"/>
              <w:jc w:val="center"/>
              <w:rPr>
                <w:rFonts w:ascii="宋体" w:hAnsi="宋体"/>
                <w:color w:val="000000"/>
                <w:kern w:val="0"/>
                <w:highlight w:val="none"/>
              </w:rPr>
            </w:pPr>
          </w:p>
        </w:tc>
        <w:tc>
          <w:tcPr>
            <w:tcW w:w="1623"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邮政编码</w:t>
            </w:r>
          </w:p>
        </w:tc>
        <w:tc>
          <w:tcPr>
            <w:tcW w:w="963" w:type="dxa"/>
            <w:vAlign w:val="center"/>
          </w:tcPr>
          <w:p>
            <w:pPr>
              <w:shd w:val="clear" w:fill="auto"/>
              <w:autoSpaceDE w:val="0"/>
              <w:autoSpaceDN w:val="0"/>
              <w:adjustRightInd w:val="0"/>
              <w:spacing w:line="360" w:lineRule="auto"/>
              <w:jc w:val="center"/>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647" w:type="dxa"/>
            <w:vMerge w:val="restart"/>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联系方式</w:t>
            </w:r>
          </w:p>
        </w:tc>
        <w:tc>
          <w:tcPr>
            <w:tcW w:w="942"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联系人</w:t>
            </w:r>
          </w:p>
        </w:tc>
        <w:tc>
          <w:tcPr>
            <w:tcW w:w="4450" w:type="dxa"/>
            <w:gridSpan w:val="4"/>
            <w:vAlign w:val="center"/>
          </w:tcPr>
          <w:p>
            <w:pPr>
              <w:shd w:val="clear" w:fill="auto"/>
              <w:autoSpaceDE w:val="0"/>
              <w:autoSpaceDN w:val="0"/>
              <w:adjustRightInd w:val="0"/>
              <w:spacing w:line="360" w:lineRule="auto"/>
              <w:jc w:val="center"/>
              <w:rPr>
                <w:rFonts w:ascii="宋体" w:hAnsi="宋体"/>
                <w:color w:val="000000"/>
                <w:kern w:val="0"/>
                <w:highlight w:val="none"/>
              </w:rPr>
            </w:pPr>
          </w:p>
        </w:tc>
        <w:tc>
          <w:tcPr>
            <w:tcW w:w="1623"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电话</w:t>
            </w:r>
          </w:p>
        </w:tc>
        <w:tc>
          <w:tcPr>
            <w:tcW w:w="963" w:type="dxa"/>
            <w:vAlign w:val="center"/>
          </w:tcPr>
          <w:p>
            <w:pPr>
              <w:shd w:val="clear" w:fill="auto"/>
              <w:autoSpaceDE w:val="0"/>
              <w:autoSpaceDN w:val="0"/>
              <w:adjustRightInd w:val="0"/>
              <w:spacing w:line="360" w:lineRule="auto"/>
              <w:jc w:val="center"/>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47" w:type="dxa"/>
            <w:vMerge w:val="continue"/>
            <w:vAlign w:val="center"/>
          </w:tcPr>
          <w:p>
            <w:pPr>
              <w:shd w:val="clear" w:fill="auto"/>
              <w:autoSpaceDE w:val="0"/>
              <w:autoSpaceDN w:val="0"/>
              <w:adjustRightInd w:val="0"/>
              <w:spacing w:line="360" w:lineRule="auto"/>
              <w:jc w:val="center"/>
              <w:rPr>
                <w:rFonts w:ascii="宋体" w:hAnsi="宋体"/>
                <w:color w:val="000000"/>
                <w:kern w:val="0"/>
                <w:highlight w:val="none"/>
              </w:rPr>
            </w:pPr>
          </w:p>
        </w:tc>
        <w:tc>
          <w:tcPr>
            <w:tcW w:w="942"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传 真</w:t>
            </w:r>
          </w:p>
        </w:tc>
        <w:tc>
          <w:tcPr>
            <w:tcW w:w="4450" w:type="dxa"/>
            <w:gridSpan w:val="4"/>
            <w:vAlign w:val="center"/>
          </w:tcPr>
          <w:p>
            <w:pPr>
              <w:shd w:val="clear" w:fill="auto"/>
              <w:autoSpaceDE w:val="0"/>
              <w:autoSpaceDN w:val="0"/>
              <w:adjustRightInd w:val="0"/>
              <w:spacing w:line="360" w:lineRule="auto"/>
              <w:jc w:val="center"/>
              <w:rPr>
                <w:rFonts w:ascii="宋体" w:hAnsi="宋体"/>
                <w:color w:val="000000"/>
                <w:kern w:val="0"/>
                <w:highlight w:val="none"/>
              </w:rPr>
            </w:pPr>
          </w:p>
        </w:tc>
        <w:tc>
          <w:tcPr>
            <w:tcW w:w="1623"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网址</w:t>
            </w:r>
          </w:p>
        </w:tc>
        <w:tc>
          <w:tcPr>
            <w:tcW w:w="963" w:type="dxa"/>
            <w:vAlign w:val="center"/>
          </w:tcPr>
          <w:p>
            <w:pPr>
              <w:shd w:val="clear" w:fill="auto"/>
              <w:autoSpaceDE w:val="0"/>
              <w:autoSpaceDN w:val="0"/>
              <w:adjustRightInd w:val="0"/>
              <w:spacing w:line="360" w:lineRule="auto"/>
              <w:jc w:val="center"/>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647"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组织结构</w:t>
            </w:r>
          </w:p>
        </w:tc>
        <w:tc>
          <w:tcPr>
            <w:tcW w:w="7978" w:type="dxa"/>
            <w:gridSpan w:val="7"/>
            <w:vAlign w:val="center"/>
          </w:tcPr>
          <w:p>
            <w:pPr>
              <w:shd w:val="clear" w:fill="auto"/>
              <w:autoSpaceDE w:val="0"/>
              <w:autoSpaceDN w:val="0"/>
              <w:adjustRightInd w:val="0"/>
              <w:spacing w:line="360" w:lineRule="auto"/>
              <w:jc w:val="center"/>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47"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法定代表人</w:t>
            </w:r>
          </w:p>
        </w:tc>
        <w:tc>
          <w:tcPr>
            <w:tcW w:w="942"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姓名</w:t>
            </w:r>
          </w:p>
        </w:tc>
        <w:tc>
          <w:tcPr>
            <w:tcW w:w="1042" w:type="dxa"/>
            <w:vAlign w:val="center"/>
          </w:tcPr>
          <w:p>
            <w:pPr>
              <w:shd w:val="clear" w:fill="auto"/>
              <w:autoSpaceDE w:val="0"/>
              <w:autoSpaceDN w:val="0"/>
              <w:adjustRightInd w:val="0"/>
              <w:spacing w:line="360" w:lineRule="auto"/>
              <w:jc w:val="center"/>
              <w:rPr>
                <w:rFonts w:ascii="宋体" w:hAnsi="宋体"/>
                <w:color w:val="000000"/>
                <w:kern w:val="0"/>
                <w:highlight w:val="none"/>
              </w:rPr>
            </w:pPr>
          </w:p>
        </w:tc>
        <w:tc>
          <w:tcPr>
            <w:tcW w:w="1421" w:type="dxa"/>
            <w:gridSpan w:val="2"/>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技术职称</w:t>
            </w:r>
          </w:p>
        </w:tc>
        <w:tc>
          <w:tcPr>
            <w:tcW w:w="1987" w:type="dxa"/>
            <w:vAlign w:val="center"/>
          </w:tcPr>
          <w:p>
            <w:pPr>
              <w:shd w:val="clear" w:fill="auto"/>
              <w:autoSpaceDE w:val="0"/>
              <w:autoSpaceDN w:val="0"/>
              <w:adjustRightInd w:val="0"/>
              <w:spacing w:line="360" w:lineRule="auto"/>
              <w:jc w:val="center"/>
              <w:rPr>
                <w:rFonts w:ascii="宋体" w:hAnsi="宋体"/>
                <w:color w:val="000000"/>
                <w:kern w:val="0"/>
                <w:highlight w:val="none"/>
              </w:rPr>
            </w:pPr>
          </w:p>
        </w:tc>
        <w:tc>
          <w:tcPr>
            <w:tcW w:w="1623"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电话</w:t>
            </w:r>
          </w:p>
        </w:tc>
        <w:tc>
          <w:tcPr>
            <w:tcW w:w="963" w:type="dxa"/>
            <w:vAlign w:val="center"/>
          </w:tcPr>
          <w:p>
            <w:pPr>
              <w:shd w:val="clear" w:fill="auto"/>
              <w:autoSpaceDE w:val="0"/>
              <w:autoSpaceDN w:val="0"/>
              <w:adjustRightInd w:val="0"/>
              <w:spacing w:line="360" w:lineRule="auto"/>
              <w:jc w:val="center"/>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47"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lang w:val="en-US" w:eastAsia="zh-CN"/>
              </w:rPr>
              <w:t>技术</w:t>
            </w:r>
            <w:r>
              <w:rPr>
                <w:rFonts w:hint="eastAsia" w:ascii="宋体" w:hAnsi="宋体"/>
                <w:color w:val="000000"/>
                <w:kern w:val="0"/>
                <w:highlight w:val="none"/>
              </w:rPr>
              <w:t>负责人</w:t>
            </w:r>
          </w:p>
        </w:tc>
        <w:tc>
          <w:tcPr>
            <w:tcW w:w="942"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姓名</w:t>
            </w:r>
          </w:p>
        </w:tc>
        <w:tc>
          <w:tcPr>
            <w:tcW w:w="1042" w:type="dxa"/>
            <w:vAlign w:val="center"/>
          </w:tcPr>
          <w:p>
            <w:pPr>
              <w:shd w:val="clear" w:fill="auto"/>
              <w:autoSpaceDE w:val="0"/>
              <w:autoSpaceDN w:val="0"/>
              <w:adjustRightInd w:val="0"/>
              <w:spacing w:line="360" w:lineRule="auto"/>
              <w:jc w:val="center"/>
              <w:rPr>
                <w:rFonts w:ascii="宋体" w:hAnsi="宋体"/>
                <w:color w:val="000000"/>
                <w:kern w:val="0"/>
                <w:highlight w:val="none"/>
              </w:rPr>
            </w:pPr>
          </w:p>
        </w:tc>
        <w:tc>
          <w:tcPr>
            <w:tcW w:w="1421" w:type="dxa"/>
            <w:gridSpan w:val="2"/>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技术职称</w:t>
            </w:r>
          </w:p>
        </w:tc>
        <w:tc>
          <w:tcPr>
            <w:tcW w:w="1987" w:type="dxa"/>
            <w:vAlign w:val="center"/>
          </w:tcPr>
          <w:p>
            <w:pPr>
              <w:shd w:val="clear" w:fill="auto"/>
              <w:autoSpaceDE w:val="0"/>
              <w:autoSpaceDN w:val="0"/>
              <w:adjustRightInd w:val="0"/>
              <w:spacing w:line="360" w:lineRule="auto"/>
              <w:jc w:val="center"/>
              <w:rPr>
                <w:rFonts w:ascii="宋体" w:hAnsi="宋体"/>
                <w:color w:val="000000"/>
                <w:kern w:val="0"/>
                <w:highlight w:val="none"/>
              </w:rPr>
            </w:pPr>
          </w:p>
        </w:tc>
        <w:tc>
          <w:tcPr>
            <w:tcW w:w="1623"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电话</w:t>
            </w:r>
          </w:p>
        </w:tc>
        <w:tc>
          <w:tcPr>
            <w:tcW w:w="963" w:type="dxa"/>
            <w:vAlign w:val="center"/>
          </w:tcPr>
          <w:p>
            <w:pPr>
              <w:shd w:val="clear" w:fill="auto"/>
              <w:autoSpaceDE w:val="0"/>
              <w:autoSpaceDN w:val="0"/>
              <w:adjustRightInd w:val="0"/>
              <w:spacing w:line="360" w:lineRule="auto"/>
              <w:jc w:val="center"/>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47"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成立时间</w:t>
            </w:r>
          </w:p>
        </w:tc>
        <w:tc>
          <w:tcPr>
            <w:tcW w:w="1984" w:type="dxa"/>
            <w:gridSpan w:val="2"/>
            <w:vAlign w:val="center"/>
          </w:tcPr>
          <w:p>
            <w:pPr>
              <w:shd w:val="clear" w:fill="auto"/>
              <w:autoSpaceDE w:val="0"/>
              <w:autoSpaceDN w:val="0"/>
              <w:adjustRightInd w:val="0"/>
              <w:spacing w:line="360" w:lineRule="auto"/>
              <w:jc w:val="center"/>
              <w:rPr>
                <w:rFonts w:ascii="宋体" w:hAnsi="宋体"/>
                <w:color w:val="000000"/>
                <w:kern w:val="0"/>
                <w:highlight w:val="none"/>
              </w:rPr>
            </w:pPr>
          </w:p>
        </w:tc>
        <w:tc>
          <w:tcPr>
            <w:tcW w:w="5994" w:type="dxa"/>
            <w:gridSpan w:val="5"/>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647"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企业资质等级</w:t>
            </w:r>
          </w:p>
        </w:tc>
        <w:tc>
          <w:tcPr>
            <w:tcW w:w="1984" w:type="dxa"/>
            <w:gridSpan w:val="2"/>
            <w:vAlign w:val="center"/>
          </w:tcPr>
          <w:p>
            <w:pPr>
              <w:shd w:val="clear" w:fill="auto"/>
              <w:autoSpaceDE w:val="0"/>
              <w:autoSpaceDN w:val="0"/>
              <w:adjustRightInd w:val="0"/>
              <w:spacing w:line="360" w:lineRule="auto"/>
              <w:rPr>
                <w:rFonts w:ascii="宋体" w:hAnsi="宋体"/>
                <w:color w:val="000000"/>
                <w:kern w:val="0"/>
                <w:highlight w:val="none"/>
              </w:rPr>
            </w:pPr>
          </w:p>
        </w:tc>
        <w:tc>
          <w:tcPr>
            <w:tcW w:w="828" w:type="dxa"/>
            <w:vMerge w:val="restart"/>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其中</w:t>
            </w:r>
          </w:p>
        </w:tc>
        <w:tc>
          <w:tcPr>
            <w:tcW w:w="2580" w:type="dxa"/>
            <w:gridSpan w:val="2"/>
            <w:vAlign w:val="center"/>
          </w:tcPr>
          <w:p>
            <w:pPr>
              <w:shd w:val="clear" w:fill="auto"/>
              <w:autoSpaceDE w:val="0"/>
              <w:autoSpaceDN w:val="0"/>
              <w:adjustRightInd w:val="0"/>
              <w:spacing w:line="360" w:lineRule="auto"/>
              <w:jc w:val="center"/>
              <w:rPr>
                <w:rFonts w:hint="eastAsia" w:ascii="宋体" w:hAnsi="宋体" w:eastAsia="宋体"/>
                <w:color w:val="000000"/>
                <w:kern w:val="0"/>
                <w:highlight w:val="none"/>
                <w:lang w:eastAsia="zh-CN"/>
              </w:rPr>
            </w:pPr>
            <w:r>
              <w:rPr>
                <w:rFonts w:hint="eastAsia" w:ascii="宋体" w:hAnsi="宋体"/>
                <w:color w:val="000000"/>
                <w:kern w:val="0"/>
                <w:highlight w:val="none"/>
              </w:rPr>
              <w:t>项目</w:t>
            </w:r>
            <w:r>
              <w:rPr>
                <w:rFonts w:hint="eastAsia" w:ascii="宋体" w:hAnsi="宋体"/>
                <w:color w:val="000000"/>
                <w:kern w:val="0"/>
                <w:highlight w:val="none"/>
                <w:lang w:val="en-US" w:eastAsia="zh-CN"/>
              </w:rPr>
              <w:t>负责人</w:t>
            </w:r>
          </w:p>
        </w:tc>
        <w:tc>
          <w:tcPr>
            <w:tcW w:w="2586" w:type="dxa"/>
            <w:gridSpan w:val="2"/>
            <w:vAlign w:val="center"/>
          </w:tcPr>
          <w:p>
            <w:pPr>
              <w:shd w:val="clear" w:fill="auto"/>
              <w:autoSpaceDE w:val="0"/>
              <w:autoSpaceDN w:val="0"/>
              <w:adjustRightInd w:val="0"/>
              <w:spacing w:line="360" w:lineRule="auto"/>
              <w:jc w:val="center"/>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47"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营业执照号</w:t>
            </w:r>
          </w:p>
        </w:tc>
        <w:tc>
          <w:tcPr>
            <w:tcW w:w="1984" w:type="dxa"/>
            <w:gridSpan w:val="2"/>
            <w:vAlign w:val="center"/>
          </w:tcPr>
          <w:p>
            <w:pPr>
              <w:shd w:val="clear" w:fill="auto"/>
              <w:autoSpaceDE w:val="0"/>
              <w:autoSpaceDN w:val="0"/>
              <w:adjustRightInd w:val="0"/>
              <w:spacing w:line="360" w:lineRule="auto"/>
              <w:jc w:val="center"/>
              <w:rPr>
                <w:rFonts w:ascii="宋体" w:hAnsi="宋体"/>
                <w:color w:val="000000"/>
                <w:kern w:val="0"/>
                <w:highlight w:val="none"/>
              </w:rPr>
            </w:pPr>
          </w:p>
        </w:tc>
        <w:tc>
          <w:tcPr>
            <w:tcW w:w="828" w:type="dxa"/>
            <w:vMerge w:val="continue"/>
            <w:vAlign w:val="center"/>
          </w:tcPr>
          <w:p>
            <w:pPr>
              <w:shd w:val="clear" w:fill="auto"/>
              <w:autoSpaceDE w:val="0"/>
              <w:autoSpaceDN w:val="0"/>
              <w:adjustRightInd w:val="0"/>
              <w:spacing w:line="360" w:lineRule="auto"/>
              <w:jc w:val="center"/>
              <w:rPr>
                <w:rFonts w:ascii="宋体" w:hAnsi="宋体"/>
                <w:color w:val="000000"/>
                <w:kern w:val="0"/>
                <w:highlight w:val="none"/>
              </w:rPr>
            </w:pPr>
          </w:p>
        </w:tc>
        <w:tc>
          <w:tcPr>
            <w:tcW w:w="2580" w:type="dxa"/>
            <w:gridSpan w:val="2"/>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高级职称人员</w:t>
            </w:r>
          </w:p>
        </w:tc>
        <w:tc>
          <w:tcPr>
            <w:tcW w:w="2586" w:type="dxa"/>
            <w:gridSpan w:val="2"/>
            <w:vAlign w:val="center"/>
          </w:tcPr>
          <w:p>
            <w:pPr>
              <w:shd w:val="clear" w:fill="auto"/>
              <w:autoSpaceDE w:val="0"/>
              <w:autoSpaceDN w:val="0"/>
              <w:adjustRightInd w:val="0"/>
              <w:spacing w:line="360" w:lineRule="auto"/>
              <w:jc w:val="center"/>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47"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注册资金</w:t>
            </w:r>
          </w:p>
        </w:tc>
        <w:tc>
          <w:tcPr>
            <w:tcW w:w="1984" w:type="dxa"/>
            <w:gridSpan w:val="2"/>
            <w:vAlign w:val="center"/>
          </w:tcPr>
          <w:p>
            <w:pPr>
              <w:shd w:val="clear" w:fill="auto"/>
              <w:autoSpaceDE w:val="0"/>
              <w:autoSpaceDN w:val="0"/>
              <w:adjustRightInd w:val="0"/>
              <w:spacing w:line="360" w:lineRule="auto"/>
              <w:jc w:val="center"/>
              <w:rPr>
                <w:rFonts w:ascii="宋体" w:hAnsi="宋体"/>
                <w:color w:val="000000"/>
                <w:kern w:val="0"/>
                <w:highlight w:val="none"/>
              </w:rPr>
            </w:pPr>
          </w:p>
        </w:tc>
        <w:tc>
          <w:tcPr>
            <w:tcW w:w="828" w:type="dxa"/>
            <w:vMerge w:val="continue"/>
            <w:vAlign w:val="center"/>
          </w:tcPr>
          <w:p>
            <w:pPr>
              <w:shd w:val="clear" w:fill="auto"/>
              <w:autoSpaceDE w:val="0"/>
              <w:autoSpaceDN w:val="0"/>
              <w:adjustRightInd w:val="0"/>
              <w:spacing w:line="360" w:lineRule="auto"/>
              <w:jc w:val="center"/>
              <w:rPr>
                <w:rFonts w:ascii="宋体" w:hAnsi="宋体"/>
                <w:color w:val="000000"/>
                <w:kern w:val="0"/>
                <w:highlight w:val="none"/>
              </w:rPr>
            </w:pPr>
          </w:p>
        </w:tc>
        <w:tc>
          <w:tcPr>
            <w:tcW w:w="2580" w:type="dxa"/>
            <w:gridSpan w:val="2"/>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中级职称人员</w:t>
            </w:r>
          </w:p>
        </w:tc>
        <w:tc>
          <w:tcPr>
            <w:tcW w:w="2586" w:type="dxa"/>
            <w:gridSpan w:val="2"/>
            <w:vAlign w:val="center"/>
          </w:tcPr>
          <w:p>
            <w:pPr>
              <w:shd w:val="clear" w:fill="auto"/>
              <w:autoSpaceDE w:val="0"/>
              <w:autoSpaceDN w:val="0"/>
              <w:adjustRightInd w:val="0"/>
              <w:spacing w:line="360" w:lineRule="auto"/>
              <w:jc w:val="center"/>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47"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开户银行</w:t>
            </w:r>
          </w:p>
        </w:tc>
        <w:tc>
          <w:tcPr>
            <w:tcW w:w="1984" w:type="dxa"/>
            <w:gridSpan w:val="2"/>
            <w:vAlign w:val="center"/>
          </w:tcPr>
          <w:p>
            <w:pPr>
              <w:shd w:val="clear" w:fill="auto"/>
              <w:autoSpaceDE w:val="0"/>
              <w:autoSpaceDN w:val="0"/>
              <w:adjustRightInd w:val="0"/>
              <w:spacing w:line="360" w:lineRule="auto"/>
              <w:jc w:val="center"/>
              <w:rPr>
                <w:rFonts w:ascii="宋体" w:hAnsi="宋体"/>
                <w:color w:val="000000"/>
                <w:kern w:val="0"/>
                <w:highlight w:val="none"/>
              </w:rPr>
            </w:pPr>
          </w:p>
        </w:tc>
        <w:tc>
          <w:tcPr>
            <w:tcW w:w="828" w:type="dxa"/>
            <w:vMerge w:val="continue"/>
            <w:vAlign w:val="center"/>
          </w:tcPr>
          <w:p>
            <w:pPr>
              <w:shd w:val="clear" w:fill="auto"/>
              <w:autoSpaceDE w:val="0"/>
              <w:autoSpaceDN w:val="0"/>
              <w:adjustRightInd w:val="0"/>
              <w:spacing w:line="360" w:lineRule="auto"/>
              <w:jc w:val="center"/>
              <w:rPr>
                <w:rFonts w:ascii="宋体" w:hAnsi="宋体"/>
                <w:color w:val="000000"/>
                <w:kern w:val="0"/>
                <w:highlight w:val="none"/>
              </w:rPr>
            </w:pPr>
          </w:p>
        </w:tc>
        <w:tc>
          <w:tcPr>
            <w:tcW w:w="2580" w:type="dxa"/>
            <w:gridSpan w:val="2"/>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初级职称人员</w:t>
            </w:r>
          </w:p>
        </w:tc>
        <w:tc>
          <w:tcPr>
            <w:tcW w:w="2586" w:type="dxa"/>
            <w:gridSpan w:val="2"/>
            <w:vAlign w:val="center"/>
          </w:tcPr>
          <w:p>
            <w:pPr>
              <w:shd w:val="clear" w:fill="auto"/>
              <w:autoSpaceDE w:val="0"/>
              <w:autoSpaceDN w:val="0"/>
              <w:adjustRightInd w:val="0"/>
              <w:spacing w:line="360" w:lineRule="auto"/>
              <w:jc w:val="center"/>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47"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账号</w:t>
            </w:r>
          </w:p>
        </w:tc>
        <w:tc>
          <w:tcPr>
            <w:tcW w:w="1984" w:type="dxa"/>
            <w:gridSpan w:val="2"/>
            <w:vAlign w:val="center"/>
          </w:tcPr>
          <w:p>
            <w:pPr>
              <w:shd w:val="clear" w:fill="auto"/>
              <w:autoSpaceDE w:val="0"/>
              <w:autoSpaceDN w:val="0"/>
              <w:adjustRightInd w:val="0"/>
              <w:spacing w:line="360" w:lineRule="auto"/>
              <w:jc w:val="center"/>
              <w:rPr>
                <w:rFonts w:ascii="宋体" w:hAnsi="宋体"/>
                <w:color w:val="000000"/>
                <w:kern w:val="0"/>
                <w:highlight w:val="none"/>
              </w:rPr>
            </w:pPr>
          </w:p>
        </w:tc>
        <w:tc>
          <w:tcPr>
            <w:tcW w:w="828" w:type="dxa"/>
            <w:vMerge w:val="continue"/>
            <w:vAlign w:val="center"/>
          </w:tcPr>
          <w:p>
            <w:pPr>
              <w:shd w:val="clear" w:fill="auto"/>
              <w:autoSpaceDE w:val="0"/>
              <w:autoSpaceDN w:val="0"/>
              <w:adjustRightInd w:val="0"/>
              <w:spacing w:line="360" w:lineRule="auto"/>
              <w:jc w:val="center"/>
              <w:rPr>
                <w:rFonts w:ascii="宋体" w:hAnsi="宋体"/>
                <w:color w:val="000000"/>
                <w:kern w:val="0"/>
                <w:highlight w:val="none"/>
              </w:rPr>
            </w:pPr>
          </w:p>
        </w:tc>
        <w:tc>
          <w:tcPr>
            <w:tcW w:w="2580" w:type="dxa"/>
            <w:gridSpan w:val="2"/>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技工</w:t>
            </w:r>
          </w:p>
        </w:tc>
        <w:tc>
          <w:tcPr>
            <w:tcW w:w="2586" w:type="dxa"/>
            <w:gridSpan w:val="2"/>
            <w:vAlign w:val="center"/>
          </w:tcPr>
          <w:p>
            <w:pPr>
              <w:shd w:val="clear" w:fill="auto"/>
              <w:autoSpaceDE w:val="0"/>
              <w:autoSpaceDN w:val="0"/>
              <w:adjustRightInd w:val="0"/>
              <w:spacing w:line="360" w:lineRule="auto"/>
              <w:jc w:val="center"/>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647"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经营范围</w:t>
            </w:r>
          </w:p>
        </w:tc>
        <w:tc>
          <w:tcPr>
            <w:tcW w:w="7978" w:type="dxa"/>
            <w:gridSpan w:val="7"/>
            <w:vAlign w:val="center"/>
          </w:tcPr>
          <w:p>
            <w:pPr>
              <w:shd w:val="clear" w:fill="auto"/>
              <w:autoSpaceDE w:val="0"/>
              <w:autoSpaceDN w:val="0"/>
              <w:adjustRightInd w:val="0"/>
              <w:spacing w:line="360" w:lineRule="auto"/>
              <w:jc w:val="center"/>
              <w:rPr>
                <w:rFonts w:ascii="宋体" w:hAns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647" w:type="dxa"/>
            <w:vAlign w:val="center"/>
          </w:tcPr>
          <w:p>
            <w:pPr>
              <w:shd w:val="clear" w:fill="auto"/>
              <w:autoSpaceDE w:val="0"/>
              <w:autoSpaceDN w:val="0"/>
              <w:adjustRightInd w:val="0"/>
              <w:spacing w:line="360" w:lineRule="auto"/>
              <w:jc w:val="center"/>
              <w:rPr>
                <w:rFonts w:ascii="宋体" w:hAnsi="宋体"/>
                <w:color w:val="000000"/>
                <w:kern w:val="0"/>
                <w:highlight w:val="none"/>
              </w:rPr>
            </w:pPr>
            <w:r>
              <w:rPr>
                <w:rFonts w:hint="eastAsia" w:ascii="宋体" w:hAnsi="宋体"/>
                <w:color w:val="000000"/>
                <w:kern w:val="0"/>
                <w:highlight w:val="none"/>
              </w:rPr>
              <w:t>备注</w:t>
            </w:r>
          </w:p>
        </w:tc>
        <w:tc>
          <w:tcPr>
            <w:tcW w:w="7978" w:type="dxa"/>
            <w:gridSpan w:val="7"/>
            <w:vAlign w:val="center"/>
          </w:tcPr>
          <w:p>
            <w:pPr>
              <w:shd w:val="clear" w:fill="auto"/>
              <w:autoSpaceDE w:val="0"/>
              <w:autoSpaceDN w:val="0"/>
              <w:adjustRightInd w:val="0"/>
              <w:spacing w:line="360" w:lineRule="auto"/>
              <w:jc w:val="center"/>
              <w:rPr>
                <w:rFonts w:ascii="宋体" w:hAnsi="宋体"/>
                <w:color w:val="000000"/>
                <w:kern w:val="0"/>
                <w:highlight w:val="none"/>
              </w:rPr>
            </w:pPr>
          </w:p>
        </w:tc>
      </w:tr>
    </w:tbl>
    <w:p>
      <w:pPr>
        <w:shd w:val="clear" w:fill="auto"/>
        <w:autoSpaceDE w:val="0"/>
        <w:autoSpaceDN w:val="0"/>
        <w:adjustRightInd w:val="0"/>
        <w:spacing w:line="360" w:lineRule="auto"/>
        <w:jc w:val="left"/>
        <w:rPr>
          <w:rFonts w:hint="eastAsia" w:ascii="宋体" w:hAnsi="宋体" w:eastAsia="宋体"/>
          <w:color w:val="000000"/>
          <w:kern w:val="0"/>
          <w:sz w:val="21"/>
          <w:szCs w:val="21"/>
          <w:highlight w:val="none"/>
          <w:lang w:eastAsia="zh-CN"/>
        </w:rPr>
      </w:pPr>
      <w:r>
        <w:rPr>
          <w:rFonts w:hint="eastAsia" w:ascii="宋体" w:hAnsi="宋体"/>
          <w:color w:val="000000"/>
          <w:kern w:val="0"/>
          <w:sz w:val="21"/>
          <w:szCs w:val="21"/>
          <w:highlight w:val="none"/>
          <w:lang w:eastAsia="zh-CN"/>
        </w:rPr>
        <w:t>后附营业执照等</w:t>
      </w:r>
      <w:r>
        <w:rPr>
          <w:rFonts w:hint="eastAsia" w:ascii="宋体" w:hAnsi="宋体" w:eastAsia="宋体" w:cs="宋体"/>
          <w:color w:val="auto"/>
          <w:sz w:val="21"/>
          <w:szCs w:val="21"/>
          <w:highlight w:val="none"/>
        </w:rPr>
        <w:t>相关证明材料</w:t>
      </w:r>
    </w:p>
    <w:p>
      <w:pPr>
        <w:shd w:val="clear" w:fill="auto"/>
        <w:autoSpaceDE w:val="0"/>
        <w:autoSpaceDN w:val="0"/>
        <w:adjustRightInd w:val="0"/>
        <w:spacing w:line="360" w:lineRule="auto"/>
        <w:jc w:val="center"/>
        <w:rPr>
          <w:rFonts w:hint="eastAsia" w:ascii="宋体" w:hAnsi="宋体" w:eastAsia="宋体" w:cs="Times New Roman"/>
          <w:color w:val="000000"/>
          <w:kern w:val="0"/>
          <w:sz w:val="24"/>
          <w:szCs w:val="24"/>
          <w:highlight w:val="none"/>
          <w:lang w:val="en-US" w:eastAsia="zh-CN" w:bidi="ar-SA"/>
        </w:rPr>
      </w:pPr>
      <w:r>
        <w:rPr>
          <w:rFonts w:hint="eastAsia" w:ascii="宋体" w:hAnsi="宋体"/>
          <w:color w:val="000000"/>
          <w:kern w:val="0"/>
          <w:sz w:val="24"/>
          <w:highlight w:val="none"/>
        </w:rPr>
        <w:br w:type="page"/>
      </w:r>
    </w:p>
    <w:p>
      <w:pPr>
        <w:shd w:val="clear" w:fill="auto"/>
        <w:autoSpaceDE w:val="0"/>
        <w:autoSpaceDN w:val="0"/>
        <w:adjustRightInd w:val="0"/>
        <w:spacing w:line="360" w:lineRule="auto"/>
        <w:ind w:leftChars="-1" w:hanging="2"/>
        <w:jc w:val="center"/>
        <w:rPr>
          <w:rFonts w:hint="eastAsia" w:ascii="宋体" w:hAnsi="宋体"/>
          <w:color w:val="000000"/>
          <w:kern w:val="0"/>
          <w:sz w:val="24"/>
          <w:highlight w:val="none"/>
        </w:rPr>
      </w:pPr>
      <w:r>
        <w:rPr>
          <w:rFonts w:hint="eastAsia" w:ascii="宋体" w:hAnsi="宋体"/>
          <w:color w:val="000000"/>
          <w:kern w:val="0"/>
          <w:sz w:val="24"/>
          <w:highlight w:val="none"/>
          <w:lang w:eastAsia="zh-CN"/>
        </w:rPr>
        <w:t>（二）</w:t>
      </w:r>
      <w:r>
        <w:rPr>
          <w:rFonts w:hint="eastAsia" w:ascii="宋体" w:hAnsi="宋体"/>
          <w:color w:val="000000"/>
          <w:kern w:val="0"/>
          <w:sz w:val="24"/>
          <w:highlight w:val="none"/>
        </w:rPr>
        <w:t>近年完成的类似项目情况表</w:t>
      </w:r>
    </w:p>
    <w:tbl>
      <w:tblPr>
        <w:tblStyle w:val="28"/>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7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580"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r>
              <w:rPr>
                <w:rFonts w:hint="eastAsia" w:ascii="宋体" w:hAnsi="宋体"/>
                <w:color w:val="000000"/>
                <w:kern w:val="0"/>
                <w:sz w:val="21"/>
                <w:szCs w:val="21"/>
                <w:highlight w:val="none"/>
              </w:rPr>
              <w:t>项目名称</w:t>
            </w:r>
          </w:p>
        </w:tc>
        <w:tc>
          <w:tcPr>
            <w:tcW w:w="7045"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580"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r>
              <w:rPr>
                <w:rFonts w:hint="eastAsia" w:ascii="宋体" w:hAnsi="宋体"/>
                <w:color w:val="000000"/>
                <w:kern w:val="0"/>
                <w:sz w:val="21"/>
                <w:szCs w:val="21"/>
                <w:highlight w:val="none"/>
              </w:rPr>
              <w:t>项目所在地</w:t>
            </w:r>
          </w:p>
        </w:tc>
        <w:tc>
          <w:tcPr>
            <w:tcW w:w="7045"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580" w:type="dxa"/>
            <w:vAlign w:val="center"/>
          </w:tcPr>
          <w:p>
            <w:pPr>
              <w:shd w:val="clear" w:fill="auto"/>
              <w:autoSpaceDE w:val="0"/>
              <w:autoSpaceDN w:val="0"/>
              <w:adjustRightInd w:val="0"/>
              <w:spacing w:line="400" w:lineRule="exact"/>
              <w:jc w:val="center"/>
              <w:rPr>
                <w:rFonts w:ascii="宋体" w:hAnsi="宋体"/>
                <w:color w:val="000000"/>
                <w:kern w:val="0"/>
                <w:sz w:val="21"/>
                <w:szCs w:val="21"/>
                <w:highlight w:val="none"/>
              </w:rPr>
            </w:pPr>
            <w:r>
              <w:rPr>
                <w:rFonts w:hint="eastAsia" w:ascii="宋体" w:hAnsi="宋体" w:eastAsia="宋体" w:cs="宋体"/>
                <w:kern w:val="0"/>
                <w:sz w:val="21"/>
                <w:szCs w:val="21"/>
                <w:highlight w:val="none"/>
              </w:rPr>
              <w:t>发包人名称</w:t>
            </w:r>
          </w:p>
        </w:tc>
        <w:tc>
          <w:tcPr>
            <w:tcW w:w="7045"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580" w:type="dxa"/>
            <w:vAlign w:val="center"/>
          </w:tcPr>
          <w:p>
            <w:pPr>
              <w:shd w:val="clear" w:fill="auto"/>
              <w:autoSpaceDE w:val="0"/>
              <w:autoSpaceDN w:val="0"/>
              <w:adjustRightInd w:val="0"/>
              <w:spacing w:line="400" w:lineRule="exact"/>
              <w:jc w:val="center"/>
              <w:rPr>
                <w:rFonts w:ascii="宋体" w:hAnsi="宋体"/>
                <w:color w:val="000000"/>
                <w:kern w:val="0"/>
                <w:sz w:val="21"/>
                <w:szCs w:val="21"/>
                <w:highlight w:val="none"/>
              </w:rPr>
            </w:pPr>
            <w:r>
              <w:rPr>
                <w:rFonts w:hint="eastAsia" w:ascii="宋体" w:hAnsi="宋体" w:eastAsia="宋体" w:cs="宋体"/>
                <w:kern w:val="0"/>
                <w:sz w:val="21"/>
                <w:szCs w:val="21"/>
                <w:highlight w:val="none"/>
              </w:rPr>
              <w:t>发包人地址</w:t>
            </w:r>
          </w:p>
        </w:tc>
        <w:tc>
          <w:tcPr>
            <w:tcW w:w="7045"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580" w:type="dxa"/>
            <w:vAlign w:val="center"/>
          </w:tcPr>
          <w:p>
            <w:pPr>
              <w:shd w:val="clear" w:fill="auto"/>
              <w:autoSpaceDE w:val="0"/>
              <w:autoSpaceDN w:val="0"/>
              <w:adjustRightInd w:val="0"/>
              <w:spacing w:line="400" w:lineRule="exact"/>
              <w:jc w:val="center"/>
              <w:rPr>
                <w:rFonts w:ascii="宋体" w:hAnsi="宋体"/>
                <w:color w:val="000000"/>
                <w:kern w:val="0"/>
                <w:sz w:val="21"/>
                <w:szCs w:val="21"/>
                <w:highlight w:val="none"/>
              </w:rPr>
            </w:pPr>
            <w:r>
              <w:rPr>
                <w:rFonts w:hint="eastAsia" w:ascii="宋体" w:hAnsi="宋体" w:eastAsia="宋体" w:cs="宋体"/>
                <w:kern w:val="0"/>
                <w:sz w:val="21"/>
                <w:szCs w:val="21"/>
                <w:highlight w:val="none"/>
              </w:rPr>
              <w:t>发包人电话</w:t>
            </w:r>
          </w:p>
        </w:tc>
        <w:tc>
          <w:tcPr>
            <w:tcW w:w="7045"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580"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r>
              <w:rPr>
                <w:rFonts w:hint="eastAsia" w:ascii="宋体" w:hAnsi="宋体"/>
                <w:color w:val="000000"/>
                <w:kern w:val="0"/>
                <w:sz w:val="21"/>
                <w:szCs w:val="21"/>
                <w:highlight w:val="none"/>
              </w:rPr>
              <w:t>合同价格</w:t>
            </w:r>
          </w:p>
        </w:tc>
        <w:tc>
          <w:tcPr>
            <w:tcW w:w="7045"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580"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r>
              <w:rPr>
                <w:rFonts w:hint="eastAsia" w:ascii="宋体" w:hAnsi="宋体"/>
                <w:color w:val="000000"/>
                <w:kern w:val="0"/>
                <w:sz w:val="21"/>
                <w:szCs w:val="21"/>
                <w:highlight w:val="none"/>
              </w:rPr>
              <w:t>开工日期</w:t>
            </w:r>
          </w:p>
        </w:tc>
        <w:tc>
          <w:tcPr>
            <w:tcW w:w="7045"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580"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r>
              <w:rPr>
                <w:rFonts w:hint="eastAsia" w:ascii="宋体" w:hAnsi="宋体"/>
                <w:color w:val="000000"/>
                <w:kern w:val="0"/>
                <w:sz w:val="21"/>
                <w:szCs w:val="21"/>
                <w:highlight w:val="none"/>
              </w:rPr>
              <w:t>竣工日期</w:t>
            </w:r>
          </w:p>
        </w:tc>
        <w:tc>
          <w:tcPr>
            <w:tcW w:w="7045"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580"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r>
              <w:rPr>
                <w:rFonts w:hint="eastAsia" w:ascii="宋体" w:hAnsi="宋体"/>
                <w:color w:val="000000"/>
                <w:kern w:val="0"/>
                <w:sz w:val="21"/>
                <w:szCs w:val="21"/>
                <w:highlight w:val="none"/>
              </w:rPr>
              <w:t>承担的工作</w:t>
            </w:r>
          </w:p>
        </w:tc>
        <w:tc>
          <w:tcPr>
            <w:tcW w:w="7045"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580"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r>
              <w:rPr>
                <w:rFonts w:hint="eastAsia" w:ascii="宋体" w:hAnsi="宋体"/>
                <w:color w:val="000000"/>
                <w:kern w:val="0"/>
                <w:sz w:val="21"/>
                <w:szCs w:val="21"/>
                <w:highlight w:val="none"/>
              </w:rPr>
              <w:t>工程质量</w:t>
            </w:r>
          </w:p>
        </w:tc>
        <w:tc>
          <w:tcPr>
            <w:tcW w:w="7045"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580" w:type="dxa"/>
            <w:vAlign w:val="center"/>
          </w:tcPr>
          <w:p>
            <w:pPr>
              <w:shd w:val="clear" w:fill="auto"/>
              <w:autoSpaceDE w:val="0"/>
              <w:autoSpaceDN w:val="0"/>
              <w:adjustRightInd w:val="0"/>
              <w:spacing w:line="360" w:lineRule="auto"/>
              <w:jc w:val="center"/>
              <w:rPr>
                <w:rFonts w:hint="eastAsia" w:ascii="宋体" w:hAnsi="宋体" w:eastAsia="宋体"/>
                <w:color w:val="000000"/>
                <w:kern w:val="0"/>
                <w:sz w:val="21"/>
                <w:szCs w:val="21"/>
                <w:highlight w:val="none"/>
                <w:lang w:val="en-US" w:eastAsia="zh-CN"/>
              </w:rPr>
            </w:pPr>
            <w:r>
              <w:rPr>
                <w:rFonts w:hint="eastAsia" w:ascii="宋体" w:hAnsi="宋体"/>
                <w:color w:val="000000"/>
                <w:kern w:val="0"/>
                <w:sz w:val="21"/>
                <w:szCs w:val="21"/>
                <w:highlight w:val="none"/>
              </w:rPr>
              <w:t>项目</w:t>
            </w:r>
            <w:r>
              <w:rPr>
                <w:rFonts w:hint="eastAsia" w:ascii="宋体" w:hAnsi="宋体"/>
                <w:color w:val="000000"/>
                <w:kern w:val="0"/>
                <w:sz w:val="21"/>
                <w:szCs w:val="21"/>
                <w:highlight w:val="none"/>
                <w:lang w:val="en-US" w:eastAsia="zh-CN"/>
              </w:rPr>
              <w:t>负责人</w:t>
            </w:r>
          </w:p>
        </w:tc>
        <w:tc>
          <w:tcPr>
            <w:tcW w:w="7045"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580"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r>
              <w:rPr>
                <w:rFonts w:hint="eastAsia" w:ascii="宋体" w:hAnsi="宋体"/>
                <w:color w:val="000000"/>
                <w:kern w:val="0"/>
                <w:sz w:val="21"/>
                <w:szCs w:val="21"/>
                <w:highlight w:val="none"/>
              </w:rPr>
              <w:t>技术负责人</w:t>
            </w:r>
          </w:p>
        </w:tc>
        <w:tc>
          <w:tcPr>
            <w:tcW w:w="7045"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580"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r>
              <w:rPr>
                <w:rFonts w:hint="eastAsia" w:ascii="宋体" w:hAnsi="宋体"/>
                <w:color w:val="000000"/>
                <w:kern w:val="0"/>
                <w:sz w:val="21"/>
                <w:szCs w:val="21"/>
                <w:highlight w:val="none"/>
              </w:rPr>
              <w:t>总监理工程师及电话</w:t>
            </w:r>
          </w:p>
        </w:tc>
        <w:tc>
          <w:tcPr>
            <w:tcW w:w="7045"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580"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r>
              <w:rPr>
                <w:rFonts w:hint="eastAsia" w:ascii="宋体" w:hAnsi="宋体"/>
                <w:color w:val="000000"/>
                <w:kern w:val="0"/>
                <w:sz w:val="21"/>
                <w:szCs w:val="21"/>
                <w:highlight w:val="none"/>
              </w:rPr>
              <w:t>项目描述</w:t>
            </w:r>
          </w:p>
        </w:tc>
        <w:tc>
          <w:tcPr>
            <w:tcW w:w="7045"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p>
          <w:p>
            <w:pPr>
              <w:shd w:val="clear" w:fill="auto"/>
              <w:autoSpaceDE w:val="0"/>
              <w:autoSpaceDN w:val="0"/>
              <w:adjustRightInd w:val="0"/>
              <w:spacing w:line="360" w:lineRule="auto"/>
              <w:rPr>
                <w:rFonts w:ascii="宋体" w:hAnsi="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580"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r>
              <w:rPr>
                <w:rFonts w:hint="eastAsia" w:ascii="宋体" w:hAnsi="宋体"/>
                <w:color w:val="000000"/>
                <w:kern w:val="0"/>
                <w:sz w:val="21"/>
                <w:szCs w:val="21"/>
                <w:highlight w:val="none"/>
              </w:rPr>
              <w:t>备注</w:t>
            </w:r>
          </w:p>
        </w:tc>
        <w:tc>
          <w:tcPr>
            <w:tcW w:w="7045" w:type="dxa"/>
            <w:vAlign w:val="center"/>
          </w:tcPr>
          <w:p>
            <w:pPr>
              <w:shd w:val="clear" w:fill="auto"/>
              <w:autoSpaceDE w:val="0"/>
              <w:autoSpaceDN w:val="0"/>
              <w:adjustRightInd w:val="0"/>
              <w:spacing w:line="360" w:lineRule="auto"/>
              <w:jc w:val="center"/>
              <w:rPr>
                <w:rFonts w:ascii="宋体" w:hAnsi="宋体"/>
                <w:color w:val="000000"/>
                <w:kern w:val="0"/>
                <w:sz w:val="21"/>
                <w:szCs w:val="21"/>
                <w:highlight w:val="none"/>
              </w:rPr>
            </w:pPr>
          </w:p>
        </w:tc>
      </w:tr>
    </w:tbl>
    <w:p>
      <w:pPr>
        <w:widowControl/>
        <w:shd w:val="clear" w:fill="auto"/>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备注：本表后附应附合同协议书、</w:t>
      </w:r>
      <w:r>
        <w:rPr>
          <w:rFonts w:hint="eastAsia" w:ascii="宋体" w:hAnsi="宋体" w:cs="宋体"/>
          <w:sz w:val="21"/>
          <w:szCs w:val="21"/>
          <w:highlight w:val="none"/>
          <w:lang w:val="en-US" w:eastAsia="zh-CN"/>
        </w:rPr>
        <w:t>中标通知书（如有）</w:t>
      </w:r>
      <w:r>
        <w:rPr>
          <w:rFonts w:hint="eastAsia" w:ascii="宋体" w:hAnsi="宋体" w:eastAsia="宋体" w:cs="宋体"/>
          <w:sz w:val="21"/>
          <w:szCs w:val="21"/>
          <w:highlight w:val="none"/>
        </w:rPr>
        <w:t>的复印件</w:t>
      </w:r>
      <w:r>
        <w:rPr>
          <w:rFonts w:hint="eastAsia" w:ascii="宋体" w:hAnsi="宋体" w:eastAsia="宋体" w:cs="宋体"/>
          <w:sz w:val="21"/>
          <w:szCs w:val="21"/>
          <w:highlight w:val="none"/>
          <w:lang w:eastAsia="zh-CN"/>
        </w:rPr>
        <w:t>或扫描件</w:t>
      </w:r>
      <w:r>
        <w:rPr>
          <w:rFonts w:hint="eastAsia" w:ascii="宋体" w:hAnsi="宋体" w:eastAsia="宋体" w:cs="宋体"/>
          <w:sz w:val="21"/>
          <w:szCs w:val="21"/>
          <w:highlight w:val="none"/>
        </w:rPr>
        <w:t>，具体年份要求见投标人须知前附表。每张表格只填写一个项目，并标明序号。</w:t>
      </w:r>
    </w:p>
    <w:p>
      <w:pPr>
        <w:shd w:val="clear" w:fil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widowControl/>
        <w:shd w:val="clear" w:fill="auto"/>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w:t>
      </w:r>
      <w:r>
        <w:rPr>
          <w:rFonts w:hint="eastAsia" w:ascii="宋体" w:hAnsi="宋体"/>
          <w:color w:val="000000"/>
          <w:kern w:val="0"/>
          <w:sz w:val="24"/>
          <w:highlight w:val="none"/>
          <w:lang w:val="en-US" w:eastAsia="zh-CN"/>
        </w:rPr>
        <w:t>三</w:t>
      </w:r>
      <w:r>
        <w:rPr>
          <w:rFonts w:hint="eastAsia" w:ascii="宋体" w:hAnsi="宋体"/>
          <w:color w:val="000000"/>
          <w:kern w:val="0"/>
          <w:sz w:val="24"/>
          <w:highlight w:val="none"/>
          <w:lang w:eastAsia="zh-CN"/>
        </w:rPr>
        <w:t>）正在施工的和新承接的项目情况表</w:t>
      </w:r>
    </w:p>
    <w:tbl>
      <w:tblPr>
        <w:tblStyle w:val="28"/>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1"/>
        <w:gridCol w:w="6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661"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项目名称</w:t>
            </w:r>
          </w:p>
        </w:tc>
        <w:tc>
          <w:tcPr>
            <w:tcW w:w="6964"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661"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项目所在地</w:t>
            </w:r>
          </w:p>
        </w:tc>
        <w:tc>
          <w:tcPr>
            <w:tcW w:w="6964"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661"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发包人名称</w:t>
            </w:r>
          </w:p>
        </w:tc>
        <w:tc>
          <w:tcPr>
            <w:tcW w:w="6964"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661"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发包人地址</w:t>
            </w:r>
          </w:p>
        </w:tc>
        <w:tc>
          <w:tcPr>
            <w:tcW w:w="6964"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661"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发包人电话</w:t>
            </w:r>
          </w:p>
        </w:tc>
        <w:tc>
          <w:tcPr>
            <w:tcW w:w="6964"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661"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签约合同价</w:t>
            </w:r>
          </w:p>
        </w:tc>
        <w:tc>
          <w:tcPr>
            <w:tcW w:w="6964"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661"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开工日期</w:t>
            </w:r>
          </w:p>
        </w:tc>
        <w:tc>
          <w:tcPr>
            <w:tcW w:w="6964"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661"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计划竣工日期</w:t>
            </w:r>
          </w:p>
        </w:tc>
        <w:tc>
          <w:tcPr>
            <w:tcW w:w="6964"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661"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承担的工作</w:t>
            </w:r>
          </w:p>
        </w:tc>
        <w:tc>
          <w:tcPr>
            <w:tcW w:w="6964"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661"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工程质量</w:t>
            </w:r>
          </w:p>
        </w:tc>
        <w:tc>
          <w:tcPr>
            <w:tcW w:w="6964"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661"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项目</w:t>
            </w:r>
            <w:r>
              <w:rPr>
                <w:rFonts w:hint="eastAsia" w:ascii="宋体" w:hAnsi="宋体" w:cs="宋体"/>
                <w:kern w:val="0"/>
                <w:sz w:val="21"/>
                <w:szCs w:val="21"/>
                <w:highlight w:val="none"/>
                <w:lang w:val="en-US" w:eastAsia="zh-CN"/>
              </w:rPr>
              <w:t>负责人</w:t>
            </w:r>
          </w:p>
        </w:tc>
        <w:tc>
          <w:tcPr>
            <w:tcW w:w="6964"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661"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技术负责人</w:t>
            </w:r>
          </w:p>
        </w:tc>
        <w:tc>
          <w:tcPr>
            <w:tcW w:w="6964"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661"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总监理工程师及电话</w:t>
            </w:r>
          </w:p>
        </w:tc>
        <w:tc>
          <w:tcPr>
            <w:tcW w:w="6964"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2661"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项目描述</w:t>
            </w:r>
          </w:p>
        </w:tc>
        <w:tc>
          <w:tcPr>
            <w:tcW w:w="6964"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661"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备注</w:t>
            </w:r>
          </w:p>
        </w:tc>
        <w:tc>
          <w:tcPr>
            <w:tcW w:w="6964" w:type="dxa"/>
            <w:vAlign w:val="center"/>
          </w:tcPr>
          <w:p>
            <w:pPr>
              <w:widowControl/>
              <w:shd w:val="clear" w:fill="auto"/>
              <w:autoSpaceDE w:val="0"/>
              <w:autoSpaceDN w:val="0"/>
              <w:adjustRightInd w:val="0"/>
              <w:spacing w:line="400" w:lineRule="exact"/>
              <w:jc w:val="center"/>
              <w:rPr>
                <w:rFonts w:hint="eastAsia" w:ascii="宋体" w:hAnsi="宋体" w:eastAsia="宋体" w:cs="宋体"/>
                <w:kern w:val="0"/>
                <w:sz w:val="21"/>
                <w:szCs w:val="21"/>
                <w:highlight w:val="none"/>
              </w:rPr>
            </w:pPr>
          </w:p>
        </w:tc>
      </w:tr>
    </w:tbl>
    <w:p>
      <w:pPr>
        <w:shd w:val="clear" w:fill="auto"/>
        <w:autoSpaceDE w:val="0"/>
        <w:autoSpaceDN w:val="0"/>
        <w:adjustRightInd w:val="0"/>
        <w:spacing w:line="360" w:lineRule="auto"/>
        <w:jc w:val="left"/>
        <w:rPr>
          <w:rFonts w:ascii="宋体" w:hAnsi="宋体"/>
          <w:color w:val="000000"/>
          <w:kern w:val="0"/>
          <w:highlight w:val="none"/>
        </w:rPr>
      </w:pPr>
      <w:r>
        <w:rPr>
          <w:rFonts w:hint="eastAsia" w:ascii="宋体" w:hAnsi="宋体" w:eastAsia="宋体" w:cs="宋体"/>
          <w:sz w:val="21"/>
          <w:szCs w:val="21"/>
          <w:highlight w:val="none"/>
        </w:rPr>
        <w:t>备注：本表后附合同协议书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中标通知书（如有）</w:t>
      </w:r>
      <w:r>
        <w:rPr>
          <w:rFonts w:hint="eastAsia" w:ascii="宋体" w:hAnsi="宋体" w:eastAsia="宋体" w:cs="宋体"/>
          <w:sz w:val="21"/>
          <w:szCs w:val="21"/>
          <w:highlight w:val="none"/>
        </w:rPr>
        <w:t>复印件</w:t>
      </w:r>
      <w:r>
        <w:rPr>
          <w:rFonts w:hint="eastAsia" w:ascii="宋体" w:hAnsi="宋体" w:eastAsia="宋体" w:cs="宋体"/>
          <w:sz w:val="21"/>
          <w:szCs w:val="21"/>
          <w:highlight w:val="none"/>
          <w:lang w:eastAsia="zh-CN"/>
        </w:rPr>
        <w:t>或扫描件</w:t>
      </w:r>
      <w:r>
        <w:rPr>
          <w:rFonts w:hint="eastAsia" w:ascii="宋体" w:hAnsi="宋体" w:eastAsia="宋体" w:cs="宋体"/>
          <w:sz w:val="21"/>
          <w:szCs w:val="21"/>
          <w:highlight w:val="none"/>
        </w:rPr>
        <w:t>。每张表格只填写一个项目，并标明序号。</w:t>
      </w:r>
    </w:p>
    <w:p>
      <w:pPr>
        <w:shd w:val="clear" w:fill="auto"/>
        <w:autoSpaceDE w:val="0"/>
        <w:autoSpaceDN w:val="0"/>
        <w:adjustRightInd w:val="0"/>
        <w:spacing w:line="360" w:lineRule="auto"/>
        <w:jc w:val="left"/>
        <w:rPr>
          <w:rFonts w:ascii="宋体" w:hAnsi="宋体"/>
          <w:color w:val="000000"/>
          <w:kern w:val="0"/>
          <w:highlight w:val="none"/>
        </w:rPr>
      </w:pPr>
    </w:p>
    <w:p>
      <w:pPr>
        <w:shd w:val="clear" w:fill="auto"/>
        <w:autoSpaceDE w:val="0"/>
        <w:autoSpaceDN w:val="0"/>
        <w:adjustRightInd w:val="0"/>
        <w:spacing w:line="360" w:lineRule="auto"/>
        <w:jc w:val="left"/>
        <w:rPr>
          <w:rFonts w:hint="eastAsia" w:ascii="宋体" w:hAnsi="宋体"/>
          <w:color w:val="000000"/>
          <w:kern w:val="0"/>
          <w:highlight w:val="none"/>
        </w:rPr>
      </w:pPr>
    </w:p>
    <w:p>
      <w:pPr>
        <w:shd w:val="clear" w:fill="auto"/>
        <w:autoSpaceDE w:val="0"/>
        <w:autoSpaceDN w:val="0"/>
        <w:adjustRightInd w:val="0"/>
        <w:spacing w:line="360" w:lineRule="auto"/>
        <w:jc w:val="left"/>
        <w:rPr>
          <w:rFonts w:hint="eastAsia" w:ascii="宋体" w:hAnsi="宋体"/>
          <w:color w:val="000000"/>
          <w:kern w:val="0"/>
          <w:highlight w:val="none"/>
        </w:rPr>
      </w:pPr>
    </w:p>
    <w:p>
      <w:pPr>
        <w:shd w:val="clear" w:fill="auto"/>
        <w:autoSpaceDE w:val="0"/>
        <w:autoSpaceDN w:val="0"/>
        <w:adjustRightInd w:val="0"/>
        <w:spacing w:line="360" w:lineRule="auto"/>
        <w:jc w:val="left"/>
        <w:rPr>
          <w:rFonts w:hint="eastAsia" w:ascii="宋体" w:hAnsi="宋体"/>
          <w:color w:val="000000"/>
          <w:kern w:val="0"/>
          <w:highlight w:val="none"/>
        </w:rPr>
      </w:pPr>
    </w:p>
    <w:p>
      <w:pPr>
        <w:shd w:val="clear" w:fill="FFFFFF" w:themeFill="background1"/>
        <w:autoSpaceDE w:val="0"/>
        <w:autoSpaceDN w:val="0"/>
        <w:adjustRightInd w:val="0"/>
        <w:spacing w:line="360" w:lineRule="auto"/>
        <w:jc w:val="center"/>
        <w:rPr>
          <w:rFonts w:ascii="宋体" w:hAnsi="宋体"/>
          <w:color w:val="000000"/>
          <w:kern w:val="0"/>
          <w:sz w:val="24"/>
          <w:highlight w:val="none"/>
        </w:rPr>
        <w:sectPr>
          <w:pgSz w:w="11905" w:h="16838"/>
          <w:pgMar w:top="1247" w:right="1247" w:bottom="1247" w:left="1247" w:header="850" w:footer="992" w:gutter="0"/>
          <w:pgNumType w:fmt="decimal"/>
          <w:cols w:space="0" w:num="1"/>
          <w:titlePg/>
          <w:rtlGutter w:val="0"/>
          <w:docGrid w:type="lines" w:linePitch="319" w:charSpace="0"/>
        </w:sectPr>
      </w:pPr>
      <w:r>
        <w:rPr>
          <w:rFonts w:hint="eastAsia" w:ascii="宋体" w:hAnsi="宋体"/>
          <w:color w:val="000000"/>
          <w:kern w:val="0"/>
          <w:sz w:val="24"/>
          <w:highlight w:val="none"/>
        </w:rPr>
        <w:t>（</w:t>
      </w:r>
      <w:r>
        <w:rPr>
          <w:rFonts w:hint="eastAsia" w:ascii="宋体" w:hAnsi="宋体"/>
          <w:color w:val="000000"/>
          <w:kern w:val="0"/>
          <w:sz w:val="24"/>
          <w:highlight w:val="none"/>
          <w:lang w:val="en-US" w:eastAsia="zh-CN"/>
        </w:rPr>
        <w:t>四</w:t>
      </w:r>
      <w:r>
        <w:rPr>
          <w:rFonts w:hint="eastAsia" w:ascii="宋体" w:hAnsi="宋体"/>
          <w:color w:val="000000"/>
          <w:kern w:val="0"/>
          <w:sz w:val="24"/>
          <w:highlight w:val="none"/>
        </w:rPr>
        <w:t>）</w:t>
      </w:r>
      <w:r>
        <w:rPr>
          <w:rFonts w:hint="eastAsia" w:ascii="宋体" w:hAnsi="宋体" w:eastAsia="宋体" w:cs="宋体"/>
          <w:color w:val="000000"/>
          <w:kern w:val="0"/>
          <w:sz w:val="24"/>
          <w:szCs w:val="28"/>
          <w:highlight w:val="none"/>
        </w:rPr>
        <w:t>近年财务状况表</w:t>
      </w:r>
    </w:p>
    <w:p>
      <w:pPr>
        <w:shd w:val="clear" w:fill="auto"/>
        <w:autoSpaceDE w:val="0"/>
        <w:autoSpaceDN w:val="0"/>
        <w:adjustRightInd w:val="0"/>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（五）近年发生的诉讼及仲裁情况</w:t>
      </w:r>
    </w:p>
    <w:p>
      <w:pPr>
        <w:pStyle w:val="27"/>
        <w:shd w:val="clear" w:fill="auto"/>
        <w:rPr>
          <w:rFonts w:hint="eastAsia" w:ascii="宋体" w:hAnsi="宋体"/>
          <w:color w:val="000000"/>
          <w:kern w:val="0"/>
          <w:sz w:val="24"/>
          <w:highlight w:val="none"/>
        </w:rPr>
      </w:pPr>
    </w:p>
    <w:p>
      <w:pPr>
        <w:widowControl/>
        <w:shd w:val="clear" w:fill="auto"/>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备注：近年发生的诉讼和仲裁情况仅限于</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败诉的，且与履行施工承包合同有关的案件，不包括调解结案以及未裁决的仲裁或未终审判决的诉讼，如</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近年没有发生诉讼和仲裁情况，本部分可不填写。</w:t>
      </w:r>
    </w:p>
    <w:p>
      <w:pPr>
        <w:pStyle w:val="27"/>
        <w:shd w:val="clear" w:fill="FFFFFF" w:themeFill="background1"/>
        <w:rPr>
          <w:rFonts w:hint="eastAsia" w:ascii="宋体" w:hAnsi="宋体"/>
          <w:color w:val="000000"/>
          <w:kern w:val="0"/>
          <w:sz w:val="24"/>
          <w:highlight w:val="none"/>
        </w:rPr>
        <w:sectPr>
          <w:pgSz w:w="11905" w:h="16838"/>
          <w:pgMar w:top="1247" w:right="1247" w:bottom="1247" w:left="1247" w:header="850" w:footer="992" w:gutter="0"/>
          <w:pgNumType w:fmt="decimal"/>
          <w:cols w:space="0" w:num="1"/>
          <w:titlePg/>
          <w:rtlGutter w:val="0"/>
          <w:docGrid w:type="lines" w:linePitch="319" w:charSpace="0"/>
        </w:sectPr>
      </w:pPr>
    </w:p>
    <w:p>
      <w:pPr>
        <w:shd w:val="clear" w:fill="auto"/>
        <w:autoSpaceDE w:val="0"/>
        <w:autoSpaceDN w:val="0"/>
        <w:adjustRightInd w:val="0"/>
        <w:spacing w:before="156" w:beforeLines="50" w:line="360" w:lineRule="auto"/>
        <w:ind w:left="-359" w:leftChars="-171"/>
        <w:jc w:val="center"/>
        <w:outlineLvl w:val="2"/>
        <w:rPr>
          <w:rFonts w:hint="default" w:ascii="宋体" w:hAnsi="宋体" w:eastAsia="宋体"/>
          <w:b/>
          <w:color w:val="000000"/>
          <w:kern w:val="0"/>
          <w:sz w:val="32"/>
          <w:highlight w:val="none"/>
          <w:lang w:val="en-US" w:eastAsia="zh-CN"/>
        </w:rPr>
      </w:pPr>
      <w:bookmarkStart w:id="905" w:name="_Toc30053"/>
      <w:bookmarkStart w:id="906" w:name="_Toc19207"/>
      <w:bookmarkStart w:id="907" w:name="_Toc25013"/>
      <w:bookmarkStart w:id="908" w:name="_Toc12125"/>
      <w:bookmarkStart w:id="909" w:name="_Toc331007004"/>
      <w:bookmarkStart w:id="910" w:name="_Toc359399432"/>
      <w:r>
        <w:rPr>
          <w:rFonts w:hint="eastAsia" w:ascii="宋体" w:hAnsi="宋体"/>
          <w:b/>
          <w:color w:val="000000"/>
          <w:kern w:val="0"/>
          <w:sz w:val="32"/>
          <w:highlight w:val="none"/>
          <w:lang w:val="en-US" w:eastAsia="zh-CN"/>
        </w:rPr>
        <w:t>八</w:t>
      </w:r>
      <w:r>
        <w:rPr>
          <w:rFonts w:hint="eastAsia" w:ascii="宋体" w:hAnsi="宋体"/>
          <w:b/>
          <w:color w:val="000000"/>
          <w:kern w:val="0"/>
          <w:sz w:val="32"/>
          <w:highlight w:val="none"/>
        </w:rPr>
        <w:t>、</w:t>
      </w:r>
      <w:r>
        <w:rPr>
          <w:rFonts w:hint="eastAsia" w:ascii="宋体" w:hAnsi="宋体"/>
          <w:b/>
          <w:color w:val="000000"/>
          <w:kern w:val="0"/>
          <w:sz w:val="32"/>
          <w:highlight w:val="none"/>
          <w:lang w:val="en-US" w:eastAsia="zh-CN"/>
        </w:rPr>
        <w:t>其他资料</w:t>
      </w:r>
      <w:bookmarkEnd w:id="905"/>
      <w:bookmarkEnd w:id="906"/>
      <w:bookmarkEnd w:id="907"/>
      <w:bookmarkEnd w:id="908"/>
    </w:p>
    <w:bookmarkEnd w:id="909"/>
    <w:bookmarkEnd w:id="910"/>
    <w:p>
      <w:pPr>
        <w:shd w:val="clear" w:fill="auto"/>
        <w:spacing w:line="360" w:lineRule="auto"/>
        <w:contextualSpacing/>
        <w:jc w:val="center"/>
        <w:outlineLvl w:val="9"/>
        <w:rPr>
          <w:rFonts w:ascii="宋体" w:hAnsi="宋体" w:eastAsia="宋体" w:cs="宋体"/>
          <w:b/>
          <w:bCs/>
          <w:sz w:val="28"/>
          <w:szCs w:val="28"/>
          <w:highlight w:val="none"/>
        </w:rPr>
      </w:pPr>
      <w:bookmarkStart w:id="911" w:name="_Toc154706738"/>
      <w:r>
        <w:rPr>
          <w:rFonts w:hint="eastAsia" w:ascii="宋体" w:hAnsi="宋体" w:eastAsia="宋体" w:cs="宋体"/>
          <w:b/>
          <w:bCs/>
          <w:sz w:val="28"/>
          <w:szCs w:val="28"/>
          <w:highlight w:val="none"/>
        </w:rPr>
        <w:t>1、</w:t>
      </w:r>
      <w:bookmarkStart w:id="912" w:name="_Toc28457"/>
      <w:bookmarkStart w:id="913" w:name="_Toc20538"/>
      <w:bookmarkStart w:id="914" w:name="_Toc8778"/>
      <w:bookmarkStart w:id="915" w:name="_Toc25988"/>
      <w:bookmarkStart w:id="916" w:name="_Toc29172"/>
      <w:bookmarkStart w:id="917" w:name="_Toc8858"/>
      <w:bookmarkStart w:id="918" w:name="_Toc10903"/>
      <w:bookmarkStart w:id="919" w:name="_Toc10983"/>
      <w:bookmarkStart w:id="920" w:name="_Toc27982"/>
      <w:bookmarkStart w:id="921" w:name="_Toc8240"/>
      <w:bookmarkStart w:id="922" w:name="_Toc8519"/>
      <w:r>
        <w:rPr>
          <w:rFonts w:hint="eastAsia" w:ascii="宋体" w:hAnsi="宋体" w:eastAsia="宋体" w:cs="宋体"/>
          <w:b/>
          <w:bCs/>
          <w:sz w:val="28"/>
          <w:szCs w:val="28"/>
          <w:highlight w:val="none"/>
        </w:rPr>
        <w:t>反商业贿赂承诺书</w:t>
      </w:r>
      <w:bookmarkEnd w:id="911"/>
      <w:bookmarkEnd w:id="912"/>
      <w:bookmarkEnd w:id="913"/>
      <w:bookmarkEnd w:id="914"/>
      <w:bookmarkEnd w:id="915"/>
      <w:bookmarkEnd w:id="916"/>
      <w:bookmarkEnd w:id="917"/>
      <w:bookmarkEnd w:id="918"/>
      <w:bookmarkEnd w:id="919"/>
      <w:bookmarkEnd w:id="920"/>
      <w:bookmarkEnd w:id="921"/>
      <w:bookmarkEnd w:id="922"/>
    </w:p>
    <w:p>
      <w:pPr>
        <w:shd w:val="clear" w:fill="auto"/>
        <w:spacing w:line="360" w:lineRule="auto"/>
        <w:ind w:firstLine="480"/>
        <w:contextualSpacing/>
        <w:rPr>
          <w:rFonts w:ascii="宋体" w:hAnsi="宋体" w:cs="宋体"/>
          <w:szCs w:val="21"/>
          <w:highlight w:val="none"/>
        </w:rPr>
      </w:pPr>
      <w:r>
        <w:rPr>
          <w:rFonts w:hint="eastAsia" w:ascii="宋体" w:hAnsi="宋体" w:cs="宋体"/>
          <w:szCs w:val="21"/>
          <w:highlight w:val="none"/>
        </w:rPr>
        <w:t>我单位郑重承诺：</w:t>
      </w:r>
    </w:p>
    <w:p>
      <w:pPr>
        <w:shd w:val="clear" w:fill="auto"/>
        <w:spacing w:line="360" w:lineRule="auto"/>
        <w:ind w:firstLine="480"/>
        <w:contextualSpacing/>
        <w:rPr>
          <w:rFonts w:ascii="宋体" w:hAnsi="宋体" w:cs="宋体"/>
          <w:szCs w:val="21"/>
          <w:highlight w:val="none"/>
        </w:rPr>
      </w:pPr>
      <w:r>
        <w:rPr>
          <w:rFonts w:hint="eastAsia" w:ascii="宋体" w:hAnsi="宋体" w:cs="宋体"/>
          <w:szCs w:val="21"/>
          <w:highlight w:val="none"/>
        </w:rPr>
        <w:t>在</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（项目名称）  </w:t>
      </w:r>
      <w:r>
        <w:rPr>
          <w:rFonts w:ascii="宋体" w:hAnsi="宋体" w:cs="宋体"/>
          <w:szCs w:val="21"/>
          <w:highlight w:val="none"/>
          <w:u w:val="single"/>
        </w:rPr>
        <w:t xml:space="preserve"> </w:t>
      </w:r>
      <w:r>
        <w:rPr>
          <w:rFonts w:hint="eastAsia" w:ascii="宋体" w:hAnsi="宋体" w:cs="宋体"/>
          <w:szCs w:val="21"/>
          <w:highlight w:val="none"/>
          <w:u w:val="single"/>
        </w:rPr>
        <w:t>标段</w:t>
      </w:r>
      <w:r>
        <w:rPr>
          <w:rFonts w:hint="eastAsia" w:ascii="宋体" w:hAnsi="宋体" w:cs="宋体"/>
          <w:szCs w:val="21"/>
          <w:highlight w:val="none"/>
        </w:rPr>
        <w:t>招标活动中，我公司保证做到：</w:t>
      </w:r>
    </w:p>
    <w:p>
      <w:pPr>
        <w:shd w:val="clear" w:fill="auto"/>
        <w:spacing w:line="360" w:lineRule="auto"/>
        <w:ind w:firstLine="480"/>
        <w:contextualSpacing/>
        <w:rPr>
          <w:rFonts w:ascii="宋体" w:hAnsi="宋体" w:cs="宋体"/>
          <w:szCs w:val="21"/>
          <w:highlight w:val="none"/>
        </w:rPr>
      </w:pPr>
      <w:r>
        <w:rPr>
          <w:rFonts w:hint="eastAsia" w:ascii="宋体" w:hAnsi="宋体" w:cs="宋体"/>
          <w:szCs w:val="21"/>
          <w:highlight w:val="none"/>
        </w:rPr>
        <w:t>一、公平竞争参加本次招标活动。</w:t>
      </w:r>
    </w:p>
    <w:p>
      <w:pPr>
        <w:shd w:val="clear" w:fill="auto"/>
        <w:spacing w:line="360" w:lineRule="auto"/>
        <w:ind w:firstLine="480"/>
        <w:contextualSpacing/>
        <w:rPr>
          <w:rFonts w:ascii="宋体" w:hAnsi="宋体" w:cs="宋体"/>
          <w:szCs w:val="21"/>
          <w:highlight w:val="none"/>
        </w:rPr>
      </w:pPr>
      <w:r>
        <w:rPr>
          <w:rFonts w:hint="eastAsia" w:ascii="宋体" w:hAnsi="宋体" w:cs="宋体"/>
          <w:szCs w:val="21"/>
          <w:highlight w:val="none"/>
        </w:rPr>
        <w:t>二、杜绝任何形式的商业贿赂行为。不向国家工作人员、招标代理机构工作人员、评审专家、招标人及亲属提供礼品礼金、有价证券、购物券、回扣、佣金、咨询费、劳务费、资助费、宣传费、宴请；不为其报销各种消费凭证，不支付其旅游、娱乐等费用。</w:t>
      </w:r>
    </w:p>
    <w:p>
      <w:pPr>
        <w:shd w:val="clear" w:fill="auto"/>
        <w:spacing w:line="360" w:lineRule="auto"/>
        <w:ind w:firstLine="420"/>
        <w:contextualSpacing/>
        <w:rPr>
          <w:rFonts w:ascii="宋体" w:hAnsi="宋体" w:cs="宋体"/>
          <w:szCs w:val="21"/>
          <w:highlight w:val="none"/>
        </w:rPr>
      </w:pPr>
      <w:r>
        <w:rPr>
          <w:rFonts w:hint="eastAsia" w:ascii="宋体" w:hAnsi="宋体" w:cs="宋体"/>
          <w:szCs w:val="21"/>
          <w:highlight w:val="none"/>
        </w:rPr>
        <w:t>三、若出现上述行为，我公司及参与投标的工作人员愿意接受按照国家法律法规等有关规定给予的处罚，包括：被取消投标资格、被取消中标资格、接受相关主管部门作出的处罚和处理。</w:t>
      </w:r>
    </w:p>
    <w:p>
      <w:pPr>
        <w:shd w:val="clear" w:fill="auto"/>
        <w:spacing w:line="360" w:lineRule="auto"/>
        <w:ind w:firstLine="480"/>
        <w:contextualSpacing/>
        <w:rPr>
          <w:rFonts w:ascii="宋体" w:hAnsi="宋体" w:cs="宋体"/>
          <w:szCs w:val="21"/>
          <w:highlight w:val="none"/>
        </w:rPr>
      </w:pPr>
    </w:p>
    <w:p>
      <w:pPr>
        <w:shd w:val="clear" w:fill="auto"/>
        <w:spacing w:line="360" w:lineRule="auto"/>
        <w:ind w:firstLine="480"/>
        <w:contextualSpacing/>
        <w:rPr>
          <w:rFonts w:ascii="宋体" w:hAnsi="宋体" w:cs="宋体"/>
          <w:szCs w:val="21"/>
          <w:highlight w:val="none"/>
        </w:rPr>
      </w:pPr>
    </w:p>
    <w:p>
      <w:pPr>
        <w:shd w:val="clear" w:fill="auto"/>
        <w:spacing w:line="360" w:lineRule="auto"/>
        <w:ind w:firstLine="480"/>
        <w:contextualSpacing/>
        <w:rPr>
          <w:rFonts w:ascii="宋体" w:hAnsi="宋体" w:cs="宋体"/>
          <w:szCs w:val="21"/>
          <w:highlight w:val="none"/>
        </w:rPr>
      </w:pPr>
    </w:p>
    <w:p>
      <w:pPr>
        <w:shd w:val="clear" w:fill="auto"/>
        <w:spacing w:line="360" w:lineRule="auto"/>
        <w:ind w:firstLine="480"/>
        <w:contextualSpacing/>
        <w:jc w:val="right"/>
        <w:rPr>
          <w:rFonts w:ascii="宋体" w:hAnsi="宋体" w:cs="宋体"/>
          <w:szCs w:val="21"/>
          <w:highlight w:val="none"/>
        </w:rPr>
      </w:pPr>
      <w:r>
        <w:rPr>
          <w:rFonts w:hint="eastAsia" w:ascii="宋体" w:hAnsi="宋体" w:cs="宋体"/>
          <w:szCs w:val="21"/>
          <w:highlight w:val="none"/>
        </w:rPr>
        <w:t>投标人：（盖单位公章）</w:t>
      </w:r>
    </w:p>
    <w:p>
      <w:pPr>
        <w:shd w:val="clear" w:fill="auto"/>
        <w:spacing w:line="360" w:lineRule="auto"/>
        <w:ind w:firstLine="480"/>
        <w:contextualSpacing/>
        <w:jc w:val="right"/>
        <w:rPr>
          <w:rFonts w:ascii="宋体" w:hAnsi="宋体" w:cs="宋体"/>
          <w:szCs w:val="21"/>
          <w:highlight w:val="none"/>
        </w:rPr>
      </w:pPr>
      <w:r>
        <w:rPr>
          <w:rFonts w:hint="eastAsia" w:ascii="宋体" w:hAnsi="宋体" w:cs="宋体"/>
          <w:szCs w:val="21"/>
          <w:highlight w:val="none"/>
        </w:rPr>
        <w:t>法定代表人或其委托代理人： （签字或盖章）</w:t>
      </w:r>
    </w:p>
    <w:p>
      <w:pPr>
        <w:shd w:val="clear" w:fill="auto"/>
        <w:spacing w:line="360" w:lineRule="auto"/>
        <w:ind w:right="120" w:firstLine="480"/>
        <w:contextualSpacing/>
        <w:jc w:val="right"/>
        <w:rPr>
          <w:rFonts w:ascii="宋体" w:hAnsi="宋体" w:cs="宋体"/>
          <w:szCs w:val="21"/>
          <w:highlight w:val="none"/>
        </w:rPr>
      </w:pPr>
      <w:r>
        <w:rPr>
          <w:rFonts w:hint="eastAsia" w:ascii="宋体" w:hAnsi="宋体" w:cs="宋体"/>
          <w:szCs w:val="21"/>
          <w:highlight w:val="none"/>
        </w:rPr>
        <w:t>年  月  日</w:t>
      </w:r>
    </w:p>
    <w:p>
      <w:pPr>
        <w:shd w:val="clear" w:fill="auto"/>
        <w:spacing w:line="360" w:lineRule="auto"/>
        <w:contextualSpacing/>
        <w:jc w:val="center"/>
        <w:outlineLvl w:val="9"/>
        <w:rPr>
          <w:rFonts w:ascii="宋体" w:hAnsi="宋体" w:eastAsia="宋体" w:cs="宋体"/>
          <w:highlight w:val="none"/>
        </w:rPr>
      </w:pPr>
      <w:r>
        <w:rPr>
          <w:rFonts w:hint="eastAsia" w:ascii="宋体" w:hAnsi="宋体" w:eastAsia="宋体" w:cs="宋体"/>
          <w:highlight w:val="none"/>
        </w:rPr>
        <w:br w:type="page"/>
      </w:r>
      <w:bookmarkStart w:id="923" w:name="_Toc154706739"/>
      <w:bookmarkStart w:id="924" w:name="_Toc3309"/>
      <w:bookmarkStart w:id="925" w:name="_Toc24072"/>
      <w:bookmarkStart w:id="926" w:name="_Toc10899"/>
      <w:bookmarkStart w:id="927" w:name="_Toc2021"/>
      <w:bookmarkStart w:id="928" w:name="_Toc14678"/>
      <w:bookmarkStart w:id="929" w:name="_Toc25566"/>
      <w:bookmarkStart w:id="930" w:name="_Toc21963"/>
      <w:bookmarkStart w:id="931" w:name="_Toc9477"/>
      <w:bookmarkStart w:id="932" w:name="_Toc20562"/>
      <w:bookmarkStart w:id="933" w:name="_Toc23083"/>
      <w:bookmarkStart w:id="934" w:name="_Toc7760"/>
      <w:bookmarkStart w:id="935" w:name="_Toc28610"/>
      <w:bookmarkStart w:id="936" w:name="_Toc21580"/>
      <w:r>
        <w:rPr>
          <w:rFonts w:hint="eastAsia" w:ascii="宋体" w:hAnsi="宋体" w:eastAsia="宋体" w:cs="宋体"/>
          <w:b/>
          <w:bCs/>
          <w:kern w:val="2"/>
          <w:sz w:val="28"/>
          <w:szCs w:val="28"/>
          <w:highlight w:val="none"/>
          <w:lang w:val="en-US" w:eastAsia="zh-CN" w:bidi="ar-SA"/>
        </w:rPr>
        <w:t>2、企业投标诚信承诺书</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pPr>
        <w:shd w:val="clear" w:fill="auto"/>
        <w:spacing w:line="360" w:lineRule="auto"/>
        <w:ind w:firstLine="480"/>
        <w:contextualSpacing/>
        <w:rPr>
          <w:rFonts w:ascii="宋体" w:hAnsi="宋体" w:cs="宋体"/>
          <w:szCs w:val="21"/>
          <w:highlight w:val="none"/>
        </w:rPr>
      </w:pPr>
      <w:r>
        <w:rPr>
          <w:rFonts w:hint="eastAsia" w:ascii="宋体" w:hAnsi="宋体" w:cs="宋体"/>
          <w:szCs w:val="21"/>
          <w:highlight w:val="none"/>
        </w:rPr>
        <w:t>我单位郑重承诺：</w:t>
      </w:r>
    </w:p>
    <w:p>
      <w:pPr>
        <w:shd w:val="clear" w:fill="auto"/>
        <w:spacing w:line="360" w:lineRule="auto"/>
        <w:ind w:firstLine="480"/>
        <w:contextualSpacing/>
        <w:rPr>
          <w:rFonts w:ascii="宋体" w:hAnsi="宋体" w:cs="宋体"/>
          <w:szCs w:val="21"/>
          <w:highlight w:val="none"/>
        </w:rPr>
      </w:pPr>
      <w:r>
        <w:rPr>
          <w:rFonts w:hint="eastAsia" w:ascii="宋体" w:hAnsi="宋体" w:cs="宋体"/>
          <w:szCs w:val="21"/>
          <w:highlight w:val="none"/>
        </w:rPr>
        <w:t>一、遵循公开、公平、公正和诚实信用的原则参加</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（项目名称）  </w:t>
      </w:r>
      <w:r>
        <w:rPr>
          <w:rFonts w:ascii="宋体" w:hAnsi="宋体" w:cs="宋体"/>
          <w:szCs w:val="21"/>
          <w:highlight w:val="none"/>
          <w:u w:val="single"/>
        </w:rPr>
        <w:t xml:space="preserve"> </w:t>
      </w:r>
      <w:r>
        <w:rPr>
          <w:rFonts w:hint="eastAsia" w:ascii="宋体" w:hAnsi="宋体" w:cs="宋体"/>
          <w:szCs w:val="21"/>
          <w:highlight w:val="none"/>
          <w:u w:val="single"/>
        </w:rPr>
        <w:t>标段</w:t>
      </w:r>
      <w:r>
        <w:rPr>
          <w:rFonts w:hint="eastAsia" w:ascii="宋体" w:hAnsi="宋体" w:cs="宋体"/>
          <w:szCs w:val="21"/>
          <w:highlight w:val="none"/>
        </w:rPr>
        <w:t>投标；</w:t>
      </w:r>
    </w:p>
    <w:p>
      <w:pPr>
        <w:shd w:val="clear" w:fill="auto"/>
        <w:spacing w:line="360" w:lineRule="auto"/>
        <w:ind w:firstLine="480"/>
        <w:contextualSpacing/>
        <w:rPr>
          <w:rFonts w:ascii="宋体" w:hAnsi="宋体" w:cs="宋体"/>
          <w:szCs w:val="21"/>
          <w:highlight w:val="none"/>
        </w:rPr>
      </w:pPr>
      <w:r>
        <w:rPr>
          <w:rFonts w:hint="eastAsia" w:ascii="宋体" w:hAnsi="宋体" w:cs="宋体"/>
          <w:szCs w:val="21"/>
          <w:highlight w:val="none"/>
        </w:rPr>
        <w:t>二、我公司提交的投标文件的内容包括但不限于资质资格证书、业绩、人员相关证件、社保及奖项证明等材料均真实、合法有效；</w:t>
      </w:r>
    </w:p>
    <w:p>
      <w:pPr>
        <w:shd w:val="clear" w:fill="auto"/>
        <w:spacing w:line="360" w:lineRule="auto"/>
        <w:ind w:firstLine="480"/>
        <w:contextualSpacing/>
        <w:rPr>
          <w:rFonts w:ascii="宋体" w:hAnsi="宋体" w:cs="宋体"/>
          <w:szCs w:val="21"/>
          <w:highlight w:val="none"/>
        </w:rPr>
      </w:pPr>
      <w:r>
        <w:rPr>
          <w:rFonts w:hint="eastAsia" w:ascii="宋体" w:hAnsi="宋体" w:cs="宋体"/>
          <w:szCs w:val="21"/>
          <w:highlight w:val="none"/>
        </w:rPr>
        <w:t>三、不与其他投标人相互串通投标报价，不排挤其他投标人的公平竞争，损害招标人 或其他投标人的合法权益；</w:t>
      </w:r>
    </w:p>
    <w:p>
      <w:pPr>
        <w:shd w:val="clear" w:fill="auto"/>
        <w:spacing w:line="360" w:lineRule="auto"/>
        <w:ind w:firstLine="480"/>
        <w:contextualSpacing/>
        <w:rPr>
          <w:rFonts w:ascii="宋体" w:hAnsi="宋体" w:cs="宋体"/>
          <w:szCs w:val="21"/>
          <w:highlight w:val="none"/>
        </w:rPr>
      </w:pPr>
      <w:r>
        <w:rPr>
          <w:rFonts w:hint="eastAsia" w:ascii="宋体" w:hAnsi="宋体" w:cs="宋体"/>
          <w:szCs w:val="21"/>
          <w:highlight w:val="none"/>
        </w:rPr>
        <w:t>四、不与招标人或招标代理机构串通投标，损害国家利益、社会公共利益或者他人的合法权益；</w:t>
      </w:r>
    </w:p>
    <w:p>
      <w:pPr>
        <w:shd w:val="clear" w:fill="auto"/>
        <w:spacing w:line="360" w:lineRule="auto"/>
        <w:ind w:firstLine="480"/>
        <w:contextualSpacing/>
        <w:rPr>
          <w:rFonts w:ascii="宋体" w:hAnsi="宋体" w:cs="宋体"/>
          <w:szCs w:val="21"/>
          <w:highlight w:val="none"/>
        </w:rPr>
      </w:pPr>
      <w:r>
        <w:rPr>
          <w:rFonts w:hint="eastAsia" w:ascii="宋体" w:hAnsi="宋体" w:cs="宋体"/>
          <w:szCs w:val="21"/>
          <w:highlight w:val="none"/>
        </w:rPr>
        <w:t>五、不向招标人或者评标委员会成员行贿以牟取入围；</w:t>
      </w:r>
    </w:p>
    <w:p>
      <w:pPr>
        <w:shd w:val="clear" w:fill="auto"/>
        <w:spacing w:line="360" w:lineRule="auto"/>
        <w:ind w:firstLine="480"/>
        <w:contextualSpacing/>
        <w:rPr>
          <w:rFonts w:ascii="宋体" w:hAnsi="宋体" w:cs="宋体"/>
          <w:szCs w:val="21"/>
          <w:highlight w:val="none"/>
        </w:rPr>
      </w:pPr>
      <w:r>
        <w:rPr>
          <w:rFonts w:hint="eastAsia" w:ascii="宋体" w:hAnsi="宋体" w:cs="宋体"/>
          <w:szCs w:val="21"/>
          <w:highlight w:val="none"/>
        </w:rPr>
        <w:t>六、不以他人名义投标或者以其他方式弄虚作假，骗取中标；</w:t>
      </w:r>
    </w:p>
    <w:p>
      <w:pPr>
        <w:shd w:val="clear" w:fill="auto"/>
        <w:spacing w:line="360" w:lineRule="auto"/>
        <w:ind w:firstLine="480"/>
        <w:contextualSpacing/>
        <w:rPr>
          <w:rFonts w:ascii="宋体" w:hAnsi="宋体" w:cs="宋体"/>
          <w:szCs w:val="21"/>
          <w:highlight w:val="none"/>
        </w:rPr>
      </w:pPr>
      <w:r>
        <w:rPr>
          <w:rFonts w:hint="eastAsia" w:ascii="宋体" w:hAnsi="宋体" w:cs="宋体"/>
          <w:szCs w:val="21"/>
          <w:highlight w:val="none"/>
        </w:rPr>
        <w:t>七、不出卖资质，让他人挂靠投标；</w:t>
      </w:r>
    </w:p>
    <w:p>
      <w:pPr>
        <w:shd w:val="clear" w:fill="auto"/>
        <w:spacing w:line="360" w:lineRule="auto"/>
        <w:ind w:firstLine="480"/>
        <w:contextualSpacing/>
        <w:rPr>
          <w:rFonts w:ascii="宋体" w:hAnsi="宋体" w:cs="宋体"/>
          <w:szCs w:val="21"/>
          <w:highlight w:val="none"/>
        </w:rPr>
      </w:pPr>
      <w:r>
        <w:rPr>
          <w:rFonts w:hint="eastAsia" w:ascii="宋体" w:hAnsi="宋体" w:cs="宋体"/>
          <w:szCs w:val="21"/>
          <w:highlight w:val="none"/>
        </w:rPr>
        <w:t>八、不恶意压低或抬高投标报价；</w:t>
      </w:r>
    </w:p>
    <w:p>
      <w:pPr>
        <w:shd w:val="clear" w:fill="auto"/>
        <w:spacing w:line="360" w:lineRule="auto"/>
        <w:ind w:firstLine="480"/>
        <w:contextualSpacing/>
        <w:rPr>
          <w:rFonts w:ascii="宋体" w:hAnsi="宋体" w:cs="宋体"/>
          <w:szCs w:val="21"/>
          <w:highlight w:val="none"/>
        </w:rPr>
      </w:pPr>
      <w:r>
        <w:rPr>
          <w:rFonts w:hint="eastAsia" w:ascii="宋体" w:hAnsi="宋体" w:cs="宋体"/>
          <w:szCs w:val="21"/>
          <w:highlight w:val="none"/>
        </w:rPr>
        <w:t>九、不扰乱招投标市场秩序；</w:t>
      </w:r>
    </w:p>
    <w:p>
      <w:pPr>
        <w:shd w:val="clear" w:fill="auto"/>
        <w:spacing w:line="360" w:lineRule="auto"/>
        <w:ind w:firstLine="480"/>
        <w:contextualSpacing/>
        <w:rPr>
          <w:rFonts w:ascii="宋体" w:hAnsi="宋体" w:cs="宋体"/>
          <w:szCs w:val="21"/>
          <w:highlight w:val="none"/>
        </w:rPr>
      </w:pPr>
      <w:r>
        <w:rPr>
          <w:rFonts w:hint="eastAsia" w:ascii="宋体" w:hAnsi="宋体" w:cs="宋体"/>
          <w:szCs w:val="21"/>
          <w:highlight w:val="none"/>
        </w:rPr>
        <w:t>十、不进行虚假恶意投诉；</w:t>
      </w:r>
    </w:p>
    <w:p>
      <w:pPr>
        <w:shd w:val="clear" w:fill="auto"/>
        <w:spacing w:line="360" w:lineRule="auto"/>
        <w:ind w:firstLine="480"/>
        <w:contextualSpacing/>
        <w:rPr>
          <w:rFonts w:ascii="宋体" w:hAnsi="宋体" w:cs="宋体"/>
          <w:szCs w:val="21"/>
          <w:highlight w:val="none"/>
        </w:rPr>
      </w:pPr>
      <w:r>
        <w:rPr>
          <w:rFonts w:hint="eastAsia" w:ascii="宋体" w:hAnsi="宋体" w:cs="宋体"/>
          <w:szCs w:val="21"/>
          <w:highlight w:val="none"/>
        </w:rPr>
        <w:t>十一、如我单位中标，我单位承诺按照招标文件投标人须知前附表的招标代理费收取标准，在领取中标通知书前向招标代理机构缴纳招标代理服务费。</w:t>
      </w:r>
    </w:p>
    <w:p>
      <w:pPr>
        <w:shd w:val="clear" w:fill="auto"/>
        <w:spacing w:line="360" w:lineRule="auto"/>
        <w:ind w:firstLine="480"/>
        <w:contextualSpacing/>
        <w:rPr>
          <w:rFonts w:ascii="宋体" w:hAnsi="宋体" w:cs="宋体"/>
          <w:szCs w:val="21"/>
          <w:highlight w:val="none"/>
        </w:rPr>
      </w:pPr>
      <w:r>
        <w:rPr>
          <w:rFonts w:hint="eastAsia" w:ascii="宋体" w:hAnsi="宋体" w:cs="宋体"/>
          <w:szCs w:val="21"/>
          <w:highlight w:val="none"/>
        </w:rPr>
        <w:t>本公司若有违反本承诺内容的行为，愿意承担法律责任，包括：被取消投标资格、被取消中标资格、接受相关主管部门作出的处罚和处理。</w:t>
      </w:r>
    </w:p>
    <w:p>
      <w:pPr>
        <w:shd w:val="clear" w:fill="auto"/>
        <w:spacing w:line="360" w:lineRule="auto"/>
        <w:ind w:firstLine="480"/>
        <w:contextualSpacing/>
        <w:rPr>
          <w:rFonts w:ascii="宋体" w:hAnsi="宋体" w:cs="宋体"/>
          <w:szCs w:val="21"/>
          <w:highlight w:val="none"/>
        </w:rPr>
      </w:pPr>
    </w:p>
    <w:p>
      <w:pPr>
        <w:shd w:val="clear" w:fill="auto"/>
        <w:spacing w:line="360" w:lineRule="auto"/>
        <w:ind w:firstLine="480"/>
        <w:contextualSpacing/>
        <w:jc w:val="right"/>
        <w:rPr>
          <w:rFonts w:ascii="宋体" w:hAnsi="宋体" w:cs="宋体"/>
          <w:szCs w:val="21"/>
          <w:highlight w:val="none"/>
        </w:rPr>
      </w:pPr>
      <w:r>
        <w:rPr>
          <w:rFonts w:hint="eastAsia" w:ascii="宋体" w:hAnsi="宋体" w:cs="宋体"/>
          <w:szCs w:val="21"/>
          <w:highlight w:val="none"/>
        </w:rPr>
        <w:t>投标人：（盖单位公章）</w:t>
      </w:r>
    </w:p>
    <w:p>
      <w:pPr>
        <w:shd w:val="clear" w:fill="auto"/>
        <w:spacing w:line="360" w:lineRule="auto"/>
        <w:ind w:firstLine="480"/>
        <w:contextualSpacing/>
        <w:jc w:val="right"/>
        <w:rPr>
          <w:rFonts w:ascii="宋体" w:hAnsi="宋体" w:cs="宋体"/>
          <w:szCs w:val="21"/>
          <w:highlight w:val="none"/>
        </w:rPr>
      </w:pPr>
      <w:r>
        <w:rPr>
          <w:rFonts w:hint="eastAsia" w:ascii="宋体" w:hAnsi="宋体" w:cs="宋体"/>
          <w:szCs w:val="21"/>
          <w:highlight w:val="none"/>
        </w:rPr>
        <w:t>法定代表人或其委托代理人： （签字或盖章）</w:t>
      </w:r>
    </w:p>
    <w:p>
      <w:pPr>
        <w:shd w:val="clear" w:fill="auto"/>
        <w:spacing w:line="360" w:lineRule="auto"/>
        <w:ind w:right="120" w:firstLine="480"/>
        <w:contextualSpacing/>
        <w:jc w:val="right"/>
        <w:rPr>
          <w:rFonts w:ascii="宋体" w:hAnsi="宋体" w:cs="宋体"/>
          <w:szCs w:val="21"/>
          <w:highlight w:val="none"/>
        </w:rPr>
      </w:pPr>
      <w:r>
        <w:rPr>
          <w:rFonts w:hint="eastAsia" w:ascii="宋体" w:hAnsi="宋体" w:cs="宋体"/>
          <w:szCs w:val="21"/>
          <w:highlight w:val="none"/>
        </w:rPr>
        <w:t>年  月  日</w:t>
      </w:r>
    </w:p>
    <w:p>
      <w:pPr>
        <w:shd w:val="clear" w:fill="auto"/>
        <w:spacing w:line="360" w:lineRule="auto"/>
        <w:contextualSpacing/>
        <w:jc w:val="center"/>
        <w:outlineLvl w:val="9"/>
        <w:rPr>
          <w:rFonts w:ascii="宋体" w:hAnsi="宋体" w:eastAsia="宋体" w:cs="宋体"/>
          <w:highlight w:val="none"/>
        </w:rPr>
      </w:pPr>
      <w:r>
        <w:rPr>
          <w:rFonts w:hint="eastAsia" w:ascii="宋体" w:hAnsi="宋体" w:eastAsia="宋体" w:cs="宋体"/>
          <w:sz w:val="21"/>
          <w:szCs w:val="21"/>
          <w:highlight w:val="none"/>
        </w:rPr>
        <w:br w:type="page"/>
      </w:r>
      <w:bookmarkStart w:id="937" w:name="_Toc26117"/>
      <w:bookmarkStart w:id="938" w:name="_Toc154706740"/>
      <w:r>
        <w:rPr>
          <w:rFonts w:hint="eastAsia" w:ascii="宋体" w:hAnsi="宋体" w:eastAsia="宋体" w:cs="宋体"/>
          <w:b/>
          <w:bCs/>
          <w:kern w:val="2"/>
          <w:sz w:val="28"/>
          <w:szCs w:val="28"/>
          <w:highlight w:val="none"/>
          <w:lang w:val="en-US" w:eastAsia="zh-CN" w:bidi="ar-SA"/>
        </w:rPr>
        <w:t>3、农民工工资保障金承诺书</w:t>
      </w:r>
      <w:bookmarkEnd w:id="937"/>
      <w:bookmarkEnd w:id="938"/>
    </w:p>
    <w:p>
      <w:pPr>
        <w:shd w:val="clear" w:fill="auto"/>
        <w:spacing w:line="360" w:lineRule="auto"/>
        <w:ind w:firstLine="300"/>
        <w:contextualSpacing/>
        <w:rPr>
          <w:rFonts w:ascii="宋体" w:hAnsi="宋体" w:cs="宋体"/>
          <w:highlight w:val="none"/>
        </w:rPr>
      </w:pPr>
    </w:p>
    <w:p>
      <w:pPr>
        <w:shd w:val="clear" w:fill="auto"/>
        <w:spacing w:line="360" w:lineRule="auto"/>
        <w:ind w:firstLine="300"/>
        <w:contextualSpacing/>
        <w:rPr>
          <w:rFonts w:ascii="宋体" w:hAnsi="宋体" w:cs="宋体"/>
          <w:highlight w:val="none"/>
        </w:rPr>
      </w:pPr>
      <w:r>
        <w:rPr>
          <w:rFonts w:hint="eastAsia" w:ascii="宋体" w:hAnsi="宋体" w:cs="宋体"/>
          <w:highlight w:val="none"/>
        </w:rPr>
        <w:t>根据“河南省劳动和社会保障厅、河南省建设厅豫劳社监察[2003]19 号文件”等相关部门相关规定， 我公司针对</w:t>
      </w:r>
      <w:r>
        <w:rPr>
          <w:rFonts w:hint="eastAsia" w:ascii="宋体" w:hAnsi="宋体" w:cs="宋体"/>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highlight w:val="none"/>
          <w:u w:val="single"/>
        </w:rPr>
        <w:t xml:space="preserve">（项目名称） </w:t>
      </w:r>
      <w:r>
        <w:rPr>
          <w:rFonts w:ascii="宋体" w:hAnsi="宋体" w:cs="宋体"/>
          <w:highlight w:val="none"/>
          <w:u w:val="single"/>
        </w:rPr>
        <w:t xml:space="preserve">   </w:t>
      </w:r>
      <w:r>
        <w:rPr>
          <w:rFonts w:hint="eastAsia" w:ascii="宋体" w:hAnsi="宋体" w:cs="宋体"/>
          <w:highlight w:val="none"/>
        </w:rPr>
        <w:t>对农民工工资保障金的问题作出如下承诺：</w:t>
      </w:r>
    </w:p>
    <w:p>
      <w:pPr>
        <w:shd w:val="clear" w:fill="auto"/>
        <w:spacing w:line="360" w:lineRule="auto"/>
        <w:contextualSpacing/>
        <w:rPr>
          <w:rFonts w:ascii="宋体" w:hAnsi="宋体" w:cs="宋体"/>
          <w:highlight w:val="none"/>
        </w:rPr>
      </w:pPr>
      <w:r>
        <w:rPr>
          <w:rFonts w:hint="eastAsia" w:ascii="宋体" w:hAnsi="宋体" w:cs="宋体"/>
          <w:highlight w:val="none"/>
        </w:rPr>
        <w:t>1.截止投标截止时间，我公司不存在拖欠或克扣农民工工资的行为；</w:t>
      </w:r>
    </w:p>
    <w:p>
      <w:pPr>
        <w:shd w:val="clear" w:fill="auto"/>
        <w:spacing w:line="360" w:lineRule="auto"/>
        <w:contextualSpacing/>
        <w:rPr>
          <w:rFonts w:ascii="宋体" w:hAnsi="宋体" w:cs="宋体"/>
          <w:highlight w:val="none"/>
        </w:rPr>
      </w:pPr>
      <w:r>
        <w:rPr>
          <w:rFonts w:hint="eastAsia" w:ascii="宋体" w:hAnsi="宋体" w:cs="宋体"/>
          <w:highlight w:val="none"/>
        </w:rPr>
        <w:t>2.中标后能够及时、足额按相关规定向有关部门提交农民工工资保障金；</w:t>
      </w:r>
    </w:p>
    <w:p>
      <w:pPr>
        <w:shd w:val="clear" w:fill="auto"/>
        <w:spacing w:line="360" w:lineRule="auto"/>
        <w:contextualSpacing/>
        <w:rPr>
          <w:rFonts w:ascii="宋体" w:hAnsi="宋体" w:cs="宋体"/>
          <w:highlight w:val="none"/>
        </w:rPr>
      </w:pPr>
      <w:r>
        <w:rPr>
          <w:rFonts w:hint="eastAsia" w:ascii="宋体" w:hAnsi="宋体" w:cs="宋体"/>
          <w:highlight w:val="none"/>
        </w:rPr>
        <w:t>3.一旦其承包的建设工程项目中出现拖欠职工工资情况的,可由建设行政主管部门从工资保障金中先予划支，不足部分从业主给付的工程款中直接扣除。</w:t>
      </w:r>
    </w:p>
    <w:p>
      <w:pPr>
        <w:shd w:val="clear" w:fill="auto"/>
        <w:spacing w:line="360" w:lineRule="auto"/>
        <w:contextualSpacing/>
        <w:rPr>
          <w:rFonts w:ascii="宋体" w:hAnsi="宋体" w:cs="宋体"/>
          <w:highlight w:val="none"/>
        </w:rPr>
      </w:pPr>
    </w:p>
    <w:p>
      <w:pPr>
        <w:shd w:val="clear" w:fill="auto"/>
        <w:spacing w:line="360" w:lineRule="auto"/>
        <w:ind w:firstLine="480"/>
        <w:contextualSpacing/>
        <w:jc w:val="right"/>
        <w:rPr>
          <w:rFonts w:ascii="宋体" w:hAnsi="宋体" w:cs="宋体"/>
          <w:szCs w:val="21"/>
          <w:highlight w:val="none"/>
        </w:rPr>
      </w:pPr>
      <w:r>
        <w:rPr>
          <w:rFonts w:hint="eastAsia" w:ascii="宋体" w:hAnsi="宋体" w:cs="宋体"/>
          <w:szCs w:val="21"/>
          <w:highlight w:val="none"/>
        </w:rPr>
        <w:t>投标人：（盖单位公章）</w:t>
      </w:r>
    </w:p>
    <w:p>
      <w:pPr>
        <w:shd w:val="clear" w:fill="auto"/>
        <w:spacing w:line="360" w:lineRule="auto"/>
        <w:ind w:firstLine="480"/>
        <w:contextualSpacing/>
        <w:jc w:val="right"/>
        <w:rPr>
          <w:rFonts w:ascii="宋体" w:hAnsi="宋体" w:cs="宋体"/>
          <w:szCs w:val="21"/>
          <w:highlight w:val="none"/>
        </w:rPr>
      </w:pPr>
      <w:r>
        <w:rPr>
          <w:rFonts w:hint="eastAsia" w:ascii="宋体" w:hAnsi="宋体" w:cs="宋体"/>
          <w:szCs w:val="21"/>
          <w:highlight w:val="none"/>
        </w:rPr>
        <w:t>法定代表人或其委托代理人： （签字或盖章）</w:t>
      </w:r>
    </w:p>
    <w:p>
      <w:pPr>
        <w:shd w:val="clear" w:fill="auto"/>
        <w:spacing w:line="360" w:lineRule="auto"/>
        <w:ind w:right="120" w:firstLine="480"/>
        <w:contextualSpacing/>
        <w:jc w:val="right"/>
        <w:rPr>
          <w:rFonts w:ascii="宋体" w:hAnsi="宋体" w:cs="宋体"/>
          <w:szCs w:val="21"/>
          <w:highlight w:val="none"/>
        </w:rPr>
      </w:pPr>
      <w:r>
        <w:rPr>
          <w:rFonts w:hint="eastAsia" w:ascii="宋体" w:hAnsi="宋体" w:cs="宋体"/>
          <w:szCs w:val="21"/>
          <w:highlight w:val="none"/>
        </w:rPr>
        <w:t>年  月  日</w:t>
      </w:r>
    </w:p>
    <w:p>
      <w:pPr>
        <w:pStyle w:val="9"/>
        <w:widowControl/>
        <w:shd w:val="clear" w:fill="auto"/>
        <w:spacing w:after="0" w:line="240" w:lineRule="auto"/>
        <w:ind w:left="0" w:leftChars="0" w:right="0" w:rightChars="0"/>
        <w:rPr>
          <w:rFonts w:hint="eastAsia" w:ascii="宋体" w:hAnsi="宋体" w:eastAsia="宋体" w:cs="宋体"/>
          <w:kern w:val="0"/>
          <w:sz w:val="20"/>
          <w:szCs w:val="20"/>
          <w:highlight w:val="none"/>
        </w:rPr>
      </w:pPr>
    </w:p>
    <w:p>
      <w:pPr>
        <w:widowControl/>
        <w:shd w:val="clear" w:fill="auto"/>
        <w:jc w:val="left"/>
        <w:rPr>
          <w:rFonts w:hint="eastAsia" w:ascii="宋体" w:hAnsi="宋体" w:eastAsia="宋体" w:cs="宋体"/>
          <w:kern w:val="0"/>
          <w:sz w:val="20"/>
          <w:szCs w:val="20"/>
          <w:highlight w:val="none"/>
        </w:rPr>
      </w:pPr>
    </w:p>
    <w:p>
      <w:pPr>
        <w:pStyle w:val="9"/>
        <w:widowControl/>
        <w:shd w:val="clear" w:fill="auto"/>
        <w:rPr>
          <w:rFonts w:hint="eastAsia" w:ascii="宋体" w:hAnsi="宋体" w:eastAsia="宋体" w:cs="宋体"/>
          <w:kern w:val="0"/>
          <w:sz w:val="20"/>
          <w:szCs w:val="20"/>
          <w:highlight w:val="none"/>
        </w:rPr>
      </w:pPr>
    </w:p>
    <w:p>
      <w:pPr>
        <w:widowControl/>
        <w:shd w:val="clear" w:fill="auto"/>
        <w:jc w:val="left"/>
        <w:rPr>
          <w:rFonts w:hint="eastAsia" w:ascii="宋体" w:hAnsi="宋体" w:eastAsia="宋体" w:cs="宋体"/>
          <w:kern w:val="0"/>
          <w:sz w:val="20"/>
          <w:szCs w:val="20"/>
          <w:highlight w:val="none"/>
        </w:rPr>
      </w:pPr>
    </w:p>
    <w:p>
      <w:pPr>
        <w:pStyle w:val="9"/>
        <w:widowControl/>
        <w:shd w:val="clear" w:fill="auto"/>
        <w:rPr>
          <w:rFonts w:hint="eastAsia" w:ascii="宋体" w:hAnsi="宋体" w:eastAsia="宋体" w:cs="宋体"/>
          <w:kern w:val="0"/>
          <w:sz w:val="20"/>
          <w:szCs w:val="20"/>
          <w:highlight w:val="none"/>
        </w:rPr>
      </w:pPr>
    </w:p>
    <w:p>
      <w:pPr>
        <w:widowControl/>
        <w:shd w:val="clear" w:fill="auto"/>
        <w:jc w:val="left"/>
        <w:rPr>
          <w:rFonts w:hint="eastAsia" w:ascii="宋体" w:hAnsi="宋体" w:eastAsia="宋体" w:cs="宋体"/>
          <w:kern w:val="0"/>
          <w:sz w:val="20"/>
          <w:szCs w:val="20"/>
          <w:highlight w:val="none"/>
        </w:rPr>
      </w:pPr>
    </w:p>
    <w:p>
      <w:pPr>
        <w:pStyle w:val="9"/>
        <w:widowControl/>
        <w:shd w:val="clear" w:fill="auto"/>
        <w:rPr>
          <w:rFonts w:hint="eastAsia" w:ascii="宋体" w:hAnsi="宋体" w:eastAsia="宋体" w:cs="宋体"/>
          <w:kern w:val="0"/>
          <w:sz w:val="20"/>
          <w:szCs w:val="20"/>
          <w:highlight w:val="none"/>
        </w:rPr>
      </w:pPr>
    </w:p>
    <w:p>
      <w:pPr>
        <w:widowControl/>
        <w:shd w:val="clear" w:fill="auto"/>
        <w:jc w:val="left"/>
        <w:rPr>
          <w:rFonts w:hint="eastAsia" w:ascii="宋体" w:hAnsi="宋体" w:eastAsia="宋体" w:cs="宋体"/>
          <w:kern w:val="0"/>
          <w:sz w:val="20"/>
          <w:szCs w:val="20"/>
          <w:highlight w:val="none"/>
        </w:rPr>
      </w:pPr>
    </w:p>
    <w:p>
      <w:pPr>
        <w:shd w:val="clear" w:fil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br w:type="page"/>
      </w:r>
    </w:p>
    <w:p>
      <w:pPr>
        <w:widowControl/>
        <w:shd w:val="clear" w:fill="auto"/>
        <w:spacing w:line="600" w:lineRule="exact"/>
        <w:jc w:val="both"/>
        <w:rPr>
          <w:rFonts w:hint="eastAsia" w:ascii="宋体" w:hAnsi="宋体" w:eastAsia="宋体" w:cs="宋体"/>
          <w:b/>
          <w:bCs w:val="0"/>
          <w:color w:val="auto"/>
          <w:kern w:val="0"/>
          <w:sz w:val="28"/>
          <w:szCs w:val="28"/>
          <w:highlight w:val="none"/>
          <w:lang w:val="en-US" w:eastAsia="zh-CN" w:bidi="ar-SA"/>
        </w:rPr>
      </w:pPr>
      <w:r>
        <w:rPr>
          <w:rFonts w:hint="eastAsia" w:ascii="宋体" w:hAnsi="宋体" w:eastAsia="宋体" w:cs="宋体"/>
          <w:b/>
          <w:bCs w:val="0"/>
          <w:color w:val="auto"/>
          <w:kern w:val="0"/>
          <w:sz w:val="28"/>
          <w:szCs w:val="28"/>
          <w:highlight w:val="none"/>
          <w:lang w:val="en-US" w:eastAsia="zh-CN" w:bidi="ar-SA"/>
        </w:rPr>
        <w:t>4、招标投标活动承诺书</w:t>
      </w:r>
    </w:p>
    <w:p>
      <w:pPr>
        <w:widowControl/>
        <w:shd w:val="clear" w:fill="auto"/>
        <w:spacing w:line="600" w:lineRule="exact"/>
        <w:jc w:val="center"/>
        <w:rPr>
          <w:rFonts w:hint="eastAsia" w:ascii="宋体" w:hAnsi="宋体" w:eastAsia="宋体" w:cs="宋体"/>
          <w:b/>
          <w:bCs/>
          <w:color w:val="auto"/>
          <w:kern w:val="0"/>
          <w:sz w:val="27"/>
          <w:szCs w:val="27"/>
          <w:highlight w:val="none"/>
          <w:lang w:val="en-US" w:eastAsia="zh-CN" w:bidi="ar-SA"/>
        </w:rPr>
      </w:pPr>
      <w:r>
        <w:rPr>
          <w:rFonts w:hint="eastAsia" w:ascii="宋体" w:hAnsi="宋体" w:eastAsia="宋体" w:cs="宋体"/>
          <w:b/>
          <w:bCs/>
          <w:color w:val="auto"/>
          <w:kern w:val="0"/>
          <w:sz w:val="28"/>
          <w:szCs w:val="28"/>
          <w:highlight w:val="none"/>
          <w:lang w:val="en-US" w:eastAsia="zh-CN" w:bidi="ar-SA"/>
        </w:rPr>
        <w:t>招标投标活动承诺书</w:t>
      </w:r>
    </w:p>
    <w:p>
      <w:pPr>
        <w:widowControl/>
        <w:shd w:val="clear" w:fill="auto"/>
        <w:spacing w:line="600" w:lineRule="exact"/>
        <w:jc w:val="center"/>
        <w:rPr>
          <w:rFonts w:hint="eastAsia" w:ascii="宋体" w:hAnsi="宋体" w:eastAsia="宋体" w:cs="宋体"/>
          <w:color w:val="000000"/>
          <w:kern w:val="0"/>
          <w:sz w:val="44"/>
          <w:szCs w:val="44"/>
          <w:highlight w:val="none"/>
          <w:lang w:eastAsia="zh-CN"/>
        </w:rPr>
      </w:pPr>
    </w:p>
    <w:p>
      <w:pPr>
        <w:widowControl/>
        <w:shd w:val="clear" w:fill="auto"/>
        <w:spacing w:line="600" w:lineRule="exact"/>
        <w:jc w:val="center"/>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lang w:eastAsia="zh-CN"/>
        </w:rPr>
        <w:t>全</w:t>
      </w:r>
      <w:r>
        <w:rPr>
          <w:rFonts w:hint="eastAsia" w:ascii="宋体" w:hAnsi="宋体" w:eastAsia="宋体" w:cs="宋体"/>
          <w:color w:val="000000"/>
          <w:kern w:val="0"/>
          <w:sz w:val="32"/>
          <w:szCs w:val="32"/>
          <w:highlight w:val="none"/>
        </w:rPr>
        <w:t>省房屋建筑和市政基础设施工程项目</w:t>
      </w:r>
    </w:p>
    <w:p>
      <w:pPr>
        <w:widowControl/>
        <w:shd w:val="clear" w:fill="auto"/>
        <w:spacing w:line="600" w:lineRule="exact"/>
        <w:jc w:val="center"/>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招标投标活动承诺书</w:t>
      </w:r>
    </w:p>
    <w:p>
      <w:pPr>
        <w:widowControl/>
        <w:shd w:val="clear" w:fill="auto"/>
        <w:jc w:val="center"/>
        <w:rPr>
          <w:rFonts w:hint="eastAsia" w:ascii="宋体" w:hAnsi="宋体" w:eastAsia="宋体" w:cs="宋体"/>
          <w:kern w:val="0"/>
          <w:sz w:val="44"/>
          <w:szCs w:val="44"/>
          <w:highlight w:val="none"/>
        </w:rPr>
      </w:pPr>
    </w:p>
    <w:p>
      <w:pPr>
        <w:keepNext w:val="0"/>
        <w:keepLines w:val="0"/>
        <w:pageBreakBefore w:val="0"/>
        <w:widowControl/>
        <w:shd w:val="clear" w:fill="auto"/>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我单位承诺，在</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项目招投标活动中，</w:t>
      </w:r>
      <w:r>
        <w:rPr>
          <w:rFonts w:hint="eastAsia" w:ascii="宋体" w:hAnsi="宋体" w:eastAsia="宋体" w:cs="宋体"/>
          <w:kern w:val="0"/>
          <w:sz w:val="21"/>
          <w:szCs w:val="21"/>
          <w:highlight w:val="none"/>
          <w:lang w:eastAsia="zh-CN"/>
        </w:rPr>
        <w:t>自觉遵守</w:t>
      </w:r>
      <w:r>
        <w:rPr>
          <w:rFonts w:hint="eastAsia" w:ascii="宋体" w:hAnsi="宋体" w:eastAsia="宋体" w:cs="宋体"/>
          <w:kern w:val="0"/>
          <w:sz w:val="21"/>
          <w:szCs w:val="21"/>
          <w:highlight w:val="none"/>
        </w:rPr>
        <w:t>《中华人民共和国招标投标法》、《中华人民共和国招标投标法实施条例》、河南省实施《中华人民共和国招标投标法》办法等招标投标</w:t>
      </w:r>
      <w:r>
        <w:rPr>
          <w:rFonts w:hint="eastAsia" w:ascii="宋体" w:hAnsi="宋体" w:eastAsia="宋体" w:cs="宋体"/>
          <w:kern w:val="0"/>
          <w:sz w:val="21"/>
          <w:szCs w:val="21"/>
          <w:highlight w:val="none"/>
          <w:lang w:eastAsia="zh-CN"/>
        </w:rPr>
        <w:t>相关</w:t>
      </w:r>
      <w:r>
        <w:rPr>
          <w:rFonts w:hint="eastAsia" w:ascii="宋体" w:hAnsi="宋体" w:eastAsia="宋体" w:cs="宋体"/>
          <w:kern w:val="0"/>
          <w:sz w:val="21"/>
          <w:szCs w:val="21"/>
          <w:highlight w:val="none"/>
        </w:rPr>
        <w:t>法律、法规</w:t>
      </w:r>
      <w:r>
        <w:rPr>
          <w:rFonts w:hint="eastAsia" w:ascii="宋体" w:hAnsi="宋体" w:eastAsia="宋体" w:cs="宋体"/>
          <w:kern w:val="0"/>
          <w:sz w:val="21"/>
          <w:szCs w:val="21"/>
          <w:highlight w:val="none"/>
          <w:lang w:eastAsia="zh-CN"/>
        </w:rPr>
        <w:t>和制度规定</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eastAsia="zh-CN"/>
        </w:rPr>
        <w:t>如有违反，愿承担相关法律责任</w:t>
      </w:r>
      <w:r>
        <w:rPr>
          <w:rFonts w:hint="eastAsia" w:ascii="宋体" w:hAnsi="宋体" w:eastAsia="宋体" w:cs="宋体"/>
          <w:kern w:val="0"/>
          <w:sz w:val="21"/>
          <w:szCs w:val="21"/>
          <w:highlight w:val="none"/>
        </w:rPr>
        <w:t>。</w:t>
      </w:r>
    </w:p>
    <w:p>
      <w:pPr>
        <w:widowControl/>
        <w:shd w:val="clear" w:fill="auto"/>
        <w:jc w:val="left"/>
        <w:rPr>
          <w:rFonts w:hint="eastAsia" w:ascii="宋体" w:hAnsi="宋体" w:eastAsia="宋体" w:cs="宋体"/>
          <w:kern w:val="0"/>
          <w:sz w:val="32"/>
          <w:szCs w:val="32"/>
          <w:highlight w:val="none"/>
        </w:rPr>
      </w:pPr>
    </w:p>
    <w:p>
      <w:pPr>
        <w:widowControl/>
        <w:shd w:val="clear" w:fill="auto"/>
        <w:spacing w:line="360" w:lineRule="auto"/>
        <w:jc w:val="left"/>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承诺人（法人或委托代理人）（签字）：</w:t>
      </w:r>
      <w:r>
        <w:rPr>
          <w:rFonts w:hint="eastAsia" w:ascii="宋体" w:hAnsi="宋体" w:eastAsia="宋体" w:cs="宋体"/>
          <w:kern w:val="0"/>
          <w:sz w:val="21"/>
          <w:szCs w:val="21"/>
          <w:highlight w:val="none"/>
          <w:u w:val="single"/>
        </w:rPr>
        <w:t xml:space="preserve">              </w:t>
      </w:r>
    </w:p>
    <w:p>
      <w:pPr>
        <w:widowControl/>
        <w:shd w:val="clear" w:fill="auto"/>
        <w:spacing w:line="360" w:lineRule="auto"/>
        <w:jc w:val="left"/>
        <w:rPr>
          <w:rFonts w:hint="eastAsia" w:ascii="宋体" w:hAnsi="宋体" w:eastAsia="宋体" w:cs="宋体"/>
          <w:kern w:val="0"/>
          <w:sz w:val="32"/>
          <w:szCs w:val="32"/>
          <w:highlight w:val="none"/>
          <w:u w:val="single"/>
        </w:rPr>
      </w:pPr>
      <w:r>
        <w:rPr>
          <w:rFonts w:hint="eastAsia" w:ascii="宋体" w:hAnsi="宋体" w:eastAsia="宋体" w:cs="宋体"/>
          <w:kern w:val="0"/>
          <w:sz w:val="21"/>
          <w:szCs w:val="21"/>
          <w:highlight w:val="none"/>
        </w:rPr>
        <w:t xml:space="preserve">联   系   电   话：               </w:t>
      </w:r>
      <w:r>
        <w:rPr>
          <w:rFonts w:hint="eastAsia" w:ascii="宋体" w:hAnsi="宋体" w:eastAsia="宋体" w:cs="宋体"/>
          <w:kern w:val="0"/>
          <w:sz w:val="21"/>
          <w:szCs w:val="21"/>
          <w:highlight w:val="none"/>
          <w:u w:val="single"/>
        </w:rPr>
        <w:t xml:space="preserve">                </w:t>
      </w:r>
    </w:p>
    <w:p>
      <w:pPr>
        <w:widowControl/>
        <w:shd w:val="clear" w:fill="auto"/>
        <w:spacing w:line="240" w:lineRule="exact"/>
        <w:jc w:val="left"/>
        <w:rPr>
          <w:rFonts w:hint="eastAsia" w:ascii="宋体" w:hAnsi="宋体" w:eastAsia="宋体" w:cs="宋体"/>
          <w:kern w:val="0"/>
          <w:sz w:val="32"/>
          <w:szCs w:val="32"/>
          <w:highlight w:val="none"/>
        </w:rPr>
      </w:pPr>
    </w:p>
    <w:p>
      <w:pPr>
        <w:widowControl/>
        <w:shd w:val="clear" w:fill="auto"/>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rPr>
        <w:t xml:space="preserve">                        </w:t>
      </w:r>
    </w:p>
    <w:p>
      <w:pPr>
        <w:widowControl/>
        <w:shd w:val="clear" w:fill="auto"/>
        <w:tabs>
          <w:tab w:val="center" w:pos="4513"/>
        </w:tabs>
        <w:ind w:firstLine="2625" w:firstLineChars="1250"/>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 xml:space="preserve"> </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承诺人（盖章）</w:t>
      </w:r>
      <w:r>
        <w:rPr>
          <w:rFonts w:hint="eastAsia" w:ascii="宋体" w:hAnsi="宋体" w:eastAsia="宋体" w:cs="宋体"/>
          <w:kern w:val="0"/>
          <w:sz w:val="21"/>
          <w:szCs w:val="21"/>
          <w:highlight w:val="none"/>
          <w:lang w:eastAsia="zh-CN"/>
        </w:rPr>
        <w:tab/>
      </w:r>
    </w:p>
    <w:p>
      <w:pPr>
        <w:widowControl/>
        <w:shd w:val="clear" w:fill="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w:t>
      </w:r>
    </w:p>
    <w:p>
      <w:pPr>
        <w:widowControl/>
        <w:shd w:val="clear" w:fill="auto"/>
        <w:ind w:firstLine="4305" w:firstLineChars="2050"/>
        <w:jc w:val="left"/>
        <w:rPr>
          <w:rFonts w:hint="eastAsia" w:ascii="宋体" w:hAnsi="宋体" w:eastAsia="宋体" w:cs="宋体"/>
          <w:color w:val="000000"/>
          <w:kern w:val="0"/>
          <w:sz w:val="28"/>
          <w:szCs w:val="28"/>
          <w:highlight w:val="none"/>
        </w:rPr>
      </w:pPr>
      <w:r>
        <w:rPr>
          <w:rFonts w:hint="eastAsia" w:ascii="宋体" w:hAnsi="宋体" w:eastAsia="宋体" w:cs="宋体"/>
          <w:kern w:val="0"/>
          <w:sz w:val="21"/>
          <w:szCs w:val="21"/>
          <w:highlight w:val="none"/>
        </w:rPr>
        <w:t xml:space="preserve">年   月   日     </w:t>
      </w:r>
      <w:r>
        <w:rPr>
          <w:rFonts w:hint="eastAsia" w:ascii="宋体" w:hAnsi="宋体" w:eastAsia="宋体" w:cs="宋体"/>
          <w:kern w:val="0"/>
          <w:sz w:val="32"/>
          <w:szCs w:val="32"/>
          <w:highlight w:val="none"/>
        </w:rPr>
        <w:t xml:space="preserve">     </w:t>
      </w:r>
    </w:p>
    <w:p>
      <w:pPr>
        <w:keepNext w:val="0"/>
        <w:keepLines w:val="0"/>
        <w:pageBreakBefore w:val="0"/>
        <w:widowControl w:val="0"/>
        <w:shd w:val="clear" w:fill="auto"/>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kern w:val="0"/>
          <w:sz w:val="24"/>
          <w:szCs w:val="20"/>
          <w:highlight w:val="none"/>
          <w:lang w:val="en-US" w:eastAsia="zh-CN"/>
        </w:rPr>
      </w:pPr>
    </w:p>
    <w:p>
      <w:pPr>
        <w:shd w:val="clear" w:fil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br w:type="page"/>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color w:val="000000"/>
          <w:sz w:val="21"/>
          <w:szCs w:val="21"/>
          <w:highlight w:val="none"/>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w:t>
      </w:r>
      <w:r>
        <w:rPr>
          <w:rFonts w:hint="eastAsia" w:ascii="宋体" w:hAnsi="宋体"/>
          <w:color w:val="000000"/>
          <w:sz w:val="21"/>
          <w:szCs w:val="21"/>
          <w:highlight w:val="none"/>
        </w:rPr>
        <w:t>投标人须具备良好的社会信誉，没有处于被责令停产、停业或者投标资格被暂停、取消状态，最近三年内未发生骗取中标，未发生严重违约或重大工程质量问题；在最近三年内投标人、 投标人法定代表人、拟派</w:t>
      </w:r>
      <w:r>
        <w:rPr>
          <w:rFonts w:hint="eastAsia" w:ascii="宋体" w:hAnsi="宋体"/>
          <w:color w:val="000000"/>
          <w:sz w:val="21"/>
          <w:szCs w:val="21"/>
          <w:highlight w:val="none"/>
          <w:lang w:eastAsia="zh-CN"/>
        </w:rPr>
        <w:t>项目负责人</w:t>
      </w:r>
      <w:r>
        <w:rPr>
          <w:rFonts w:hint="eastAsia" w:ascii="宋体" w:hAnsi="宋体"/>
          <w:color w:val="000000"/>
          <w:sz w:val="21"/>
          <w:szCs w:val="21"/>
          <w:highlight w:val="none"/>
        </w:rPr>
        <w:t>均没有行贿犯罪行为记录,以书面承诺为准；</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eastAsia="zh-CN"/>
        </w:rPr>
        <w:t>注：最近三年是指该项目投标截止之日起往前顺推三年，以事实实际发生的时间为准。</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color w:val="000000"/>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w:t>
      </w:r>
      <w:r>
        <w:rPr>
          <w:rFonts w:hint="eastAsia" w:ascii="宋体" w:hAnsi="宋体"/>
          <w:color w:val="000000"/>
          <w:sz w:val="21"/>
          <w:szCs w:val="21"/>
          <w:highlight w:val="none"/>
        </w:rPr>
        <w:t>投标人需提供在“信用中国”网站（www.creditchina.gov.cn）或“中国执行信息公开网”网站（http://zxgk.court.gov.cn/shixin/）查询相关主体（含投标人、法定代表人、</w:t>
      </w:r>
      <w:r>
        <w:rPr>
          <w:rFonts w:hint="eastAsia" w:ascii="宋体" w:hAnsi="宋体"/>
          <w:color w:val="000000"/>
          <w:sz w:val="21"/>
          <w:szCs w:val="21"/>
          <w:highlight w:val="none"/>
          <w:lang w:val="en-US" w:eastAsia="zh-CN"/>
        </w:rPr>
        <w:t>项目</w:t>
      </w:r>
      <w:r>
        <w:rPr>
          <w:rFonts w:hint="eastAsia" w:ascii="宋体" w:hAnsi="宋体"/>
          <w:color w:val="000000"/>
          <w:sz w:val="21"/>
          <w:szCs w:val="21"/>
          <w:highlight w:val="none"/>
          <w:lang w:eastAsia="zh-CN"/>
        </w:rPr>
        <w:t>负责人</w:t>
      </w:r>
      <w:r>
        <w:rPr>
          <w:rFonts w:hint="eastAsia" w:ascii="宋体" w:hAnsi="宋体"/>
          <w:color w:val="000000"/>
          <w:sz w:val="21"/>
          <w:szCs w:val="21"/>
          <w:highlight w:val="none"/>
        </w:rPr>
        <w:t>、被授权委托人）未列入失信被执行人查询信息，若被列入失信被执行人名单，拒绝其参与本次投标活动，其投标无效。查询结果需显示查询时的日期，查询时的日期须在招标公告发布之日后，投标截止时间前；</w:t>
      </w:r>
    </w:p>
    <w:p>
      <w:pPr>
        <w:keepNext w:val="0"/>
        <w:keepLines w:val="0"/>
        <w:pageBreakBefore w:val="0"/>
        <w:widowControl w:val="0"/>
        <w:shd w:val="clear" w:fill="auto"/>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s="宋体"/>
          <w:kern w:val="0"/>
          <w:sz w:val="21"/>
          <w:szCs w:val="21"/>
          <w:highlight w:val="none"/>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w:t>
      </w:r>
      <w:r>
        <w:rPr>
          <w:rFonts w:hint="eastAsia" w:ascii="宋体" w:hAnsi="宋体" w:eastAsia="宋体"/>
          <w:color w:val="000000"/>
          <w:sz w:val="21"/>
          <w:szCs w:val="21"/>
          <w:highlight w:val="none"/>
          <w:lang w:eastAsia="zh-CN"/>
        </w:rPr>
        <w:t>单位负责人（指单位的法定代表人或者法律、行政法规规定代表单位行使职权的主要负责人）为同一人、或者存在控股（指持有股份占公司股本总额的50%以上的绝对控股、相对控股或协议控股）、管理关系（指不具有出资持股关系的其它单位之间存在的管理与被管理关系，如一些事业单位）的不同单位，均不得同时参加本项目投标。（投标人需出具声明函）。</w:t>
      </w:r>
    </w:p>
    <w:p>
      <w:pPr>
        <w:keepNext w:val="0"/>
        <w:keepLines w:val="0"/>
        <w:pageBreakBefore w:val="0"/>
        <w:widowControl/>
        <w:shd w:val="clear" w:fill="auto"/>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8</w:t>
      </w:r>
      <w:r>
        <w:rPr>
          <w:rFonts w:hint="eastAsia" w:ascii="宋体" w:hAnsi="宋体" w:eastAsia="宋体" w:cs="宋体"/>
          <w:kern w:val="0"/>
          <w:sz w:val="21"/>
          <w:szCs w:val="21"/>
          <w:highlight w:val="none"/>
          <w:lang w:val="en-US" w:eastAsia="zh-CN"/>
        </w:rPr>
        <w:t>、服务承诺；</w:t>
      </w:r>
    </w:p>
    <w:p>
      <w:pPr>
        <w:keepNext w:val="0"/>
        <w:keepLines w:val="0"/>
        <w:pageBreakBefore w:val="0"/>
        <w:widowControl/>
        <w:shd w:val="clear" w:fill="auto"/>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9</w:t>
      </w: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投标人认为应该提交的其他资料。</w:t>
      </w:r>
    </w:p>
    <w:sectPr>
      <w:pgSz w:w="11905" w:h="16838"/>
      <w:pgMar w:top="1247" w:right="1247" w:bottom="1247" w:left="1247" w:header="850" w:footer="992"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w:rPr>
        <w:rFonts w:ascii="仿宋_GB2312" w:hAnsi="宋体" w:eastAsia="仿宋_GB2312"/>
        <w:b/>
        <w:bCs/>
        <w:sz w:val="48"/>
        <w:szCs w:val="48"/>
      </w:rPr>
      <w:drawing>
        <wp:inline distT="0" distB="0" distL="114300" distR="114300">
          <wp:extent cx="285115" cy="247015"/>
          <wp:effectExtent l="0" t="0" r="635" b="635"/>
          <wp:docPr id="3" name="图片 3" descr="大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大成标志"/>
                  <pic:cNvPicPr>
                    <a:picLocks noChangeAspect="1"/>
                  </pic:cNvPicPr>
                </pic:nvPicPr>
                <pic:blipFill>
                  <a:blip r:embed="rId1"/>
                  <a:stretch>
                    <a:fillRect/>
                  </a:stretch>
                </pic:blipFill>
                <pic:spPr>
                  <a:xfrm>
                    <a:off x="0" y="0"/>
                    <a:ext cx="285115" cy="247015"/>
                  </a:xfrm>
                  <a:prstGeom prst="rect">
                    <a:avLst/>
                  </a:prstGeom>
                  <a:noFill/>
                  <a:ln w="9525">
                    <a:noFill/>
                  </a:ln>
                </pic:spPr>
              </pic:pic>
            </a:graphicData>
          </a:graphic>
        </wp:inline>
      </w:drawing>
    </w:r>
    <w:r>
      <w:rPr>
        <w:rFonts w:hint="eastAsia" w:ascii="宋体" w:hAnsi="宋体"/>
        <w:bCs/>
      </w:rPr>
      <w:t>大成工程咨询有限公司</w:t>
    </w:r>
  </w:p>
  <w:p>
    <w:pPr>
      <w:pStyle w:val="19"/>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fldChar w:fldCharType="begin"/>
    </w:r>
    <w:r>
      <w:rPr>
        <w:rStyle w:val="31"/>
      </w:rPr>
      <w:instrText xml:space="preserve">PAGE  </w:instrText>
    </w:r>
    <w:r>
      <w:fldChar w:fldCharType="separate"/>
    </w:r>
    <w: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rPr>
        <w:rFonts w:hint="eastAsia"/>
      </w:rPr>
    </w:pPr>
    <w:r>
      <w:rPr>
        <w:rFonts w:ascii="仿宋_GB2312" w:hAnsi="宋体" w:eastAsia="仿宋_GB2312"/>
        <w:b/>
        <w:bCs/>
        <w:sz w:val="48"/>
        <w:szCs w:val="48"/>
      </w:rPr>
      <w:drawing>
        <wp:inline distT="0" distB="0" distL="114300" distR="114300">
          <wp:extent cx="285115" cy="247015"/>
          <wp:effectExtent l="0" t="0" r="635" b="635"/>
          <wp:docPr id="7" name="图片 5" descr="大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大成标志"/>
                  <pic:cNvPicPr>
                    <a:picLocks noChangeAspect="1"/>
                  </pic:cNvPicPr>
                </pic:nvPicPr>
                <pic:blipFill>
                  <a:blip r:embed="rId1"/>
                  <a:stretch>
                    <a:fillRect/>
                  </a:stretch>
                </pic:blipFill>
                <pic:spPr>
                  <a:xfrm>
                    <a:off x="0" y="0"/>
                    <a:ext cx="285115" cy="247015"/>
                  </a:xfrm>
                  <a:prstGeom prst="rect">
                    <a:avLst/>
                  </a:prstGeom>
                  <a:noFill/>
                  <a:ln w="9525">
                    <a:noFill/>
                  </a:ln>
                </pic:spPr>
              </pic:pic>
            </a:graphicData>
          </a:graphic>
        </wp:inline>
      </w:drawing>
    </w:r>
    <w:r>
      <w:rPr>
        <w:rFonts w:hint="eastAsia" w:ascii="宋体" w:hAnsi="宋体"/>
        <w:bCs/>
      </w:rPr>
      <w:t>大成工程咨询有限公司</w:t>
    </w:r>
  </w:p>
  <w:p>
    <w:pPr>
      <w:pStyle w:val="19"/>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Times New Roman" w:hAnsi="Times New Roman"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Times New Roman" w:hAnsi="Times New Roman" w:eastAsia="仿宋_GB2312" w:cs="Times New Roman"/>
        <w:sz w:val="24"/>
        <w:lang w:val="en-US" w:eastAsia="zh-CN" w:bidi="ar-SA"/>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kern w:val="0"/>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lang w:eastAsia="zh-CN"/>
      </w:rPr>
      <w:t>郑州航空港经济综合实验区会展片区绿地整治工程</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left"/>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eastAsia"/>
        <w:b/>
        <w:bCs/>
      </w:rPr>
    </w:pPr>
    <w:r>
      <w:rPr>
        <w:rFonts w:hint="eastAsia"/>
        <w:lang w:eastAsia="zh-CN"/>
      </w:rPr>
      <w:t>郑州航空港经济综合实验区会展片区绿地整治工程</w:t>
    </w:r>
    <w:r>
      <w:rPr>
        <w:rFonts w:hint="eastAsia"/>
      </w:rPr>
      <w:t xml:space="preserve">      </w:t>
    </w:r>
    <w:r>
      <w:rPr>
        <w:rFonts w:hint="eastAsia"/>
        <w:lang w:val="en-US" w:eastAsia="zh-CN"/>
      </w:rP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lang w:eastAsia="zh-CN"/>
      </w:rPr>
      <w:t>郑州航空港经济综合实验区会展片区绿地整治工程</w:t>
    </w:r>
    <w:r>
      <w:rPr>
        <w:rFonts w:hint="eastAsia"/>
      </w:rPr>
      <w:t xml:space="preserve">      </w:t>
    </w:r>
    <w:r>
      <w:rPr>
        <w:rFonts w:hint="eastAsia"/>
        <w:lang w:val="en-US" w:eastAsia="zh-CN"/>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5D48E"/>
    <w:multiLevelType w:val="singleLevel"/>
    <w:tmpl w:val="8DF5D48E"/>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5"/>
    <w:multiLevelType w:val="multilevel"/>
    <w:tmpl w:val="00000005"/>
    <w:lvl w:ilvl="0" w:tentative="0">
      <w:start w:val="1"/>
      <w:numFmt w:val="decimal"/>
      <w:pStyle w:val="54"/>
      <w:lvlText w:val="%1"/>
      <w:lvlJc w:val="left"/>
      <w:pPr>
        <w:tabs>
          <w:tab w:val="left" w:pos="480"/>
        </w:tabs>
        <w:ind w:left="480" w:hanging="480"/>
      </w:pPr>
      <w:rPr>
        <w:rFonts w:hint="default"/>
      </w:rPr>
    </w:lvl>
    <w:lvl w:ilvl="1" w:tentative="0">
      <w:start w:val="4"/>
      <w:numFmt w:val="decimal"/>
      <w:lvlText w:val="%1.%2"/>
      <w:lvlJc w:val="left"/>
      <w:pPr>
        <w:tabs>
          <w:tab w:val="left" w:pos="690"/>
        </w:tabs>
        <w:ind w:left="690" w:hanging="480"/>
      </w:pPr>
      <w:rPr>
        <w:rFonts w:hint="default"/>
      </w:rPr>
    </w:lvl>
    <w:lvl w:ilvl="2" w:tentative="0">
      <w:start w:val="1"/>
      <w:numFmt w:val="decimal"/>
      <w:pStyle w:val="55"/>
      <w:lvlText w:val="%1.%2.%3"/>
      <w:lvlJc w:val="left"/>
      <w:pPr>
        <w:tabs>
          <w:tab w:val="left" w:pos="1140"/>
        </w:tabs>
        <w:ind w:left="1140" w:hanging="720"/>
      </w:pPr>
      <w:rPr>
        <w:rFonts w:hint="default"/>
      </w:rPr>
    </w:lvl>
    <w:lvl w:ilvl="3" w:tentative="0">
      <w:start w:val="1"/>
      <w:numFmt w:val="decimal"/>
      <w:lvlText w:val="%1.%2.%3.%4"/>
      <w:lvlJc w:val="left"/>
      <w:pPr>
        <w:tabs>
          <w:tab w:val="left" w:pos="1350"/>
        </w:tabs>
        <w:ind w:left="1350" w:hanging="720"/>
      </w:pPr>
      <w:rPr>
        <w:rFonts w:hint="default"/>
      </w:rPr>
    </w:lvl>
    <w:lvl w:ilvl="4" w:tentative="0">
      <w:start w:val="1"/>
      <w:numFmt w:val="decimal"/>
      <w:lvlText w:val="%1.%2.%3.%4.%5"/>
      <w:lvlJc w:val="left"/>
      <w:pPr>
        <w:tabs>
          <w:tab w:val="left" w:pos="1920"/>
        </w:tabs>
        <w:ind w:left="1920" w:hanging="1080"/>
      </w:pPr>
      <w:rPr>
        <w:rFonts w:hint="default"/>
      </w:rPr>
    </w:lvl>
    <w:lvl w:ilvl="5" w:tentative="0">
      <w:start w:val="1"/>
      <w:numFmt w:val="decimal"/>
      <w:lvlText w:val="%1.%2.%3.%4.%5.%6"/>
      <w:lvlJc w:val="left"/>
      <w:pPr>
        <w:tabs>
          <w:tab w:val="left" w:pos="2130"/>
        </w:tabs>
        <w:ind w:left="2130" w:hanging="1080"/>
      </w:pPr>
      <w:rPr>
        <w:rFonts w:hint="default"/>
      </w:rPr>
    </w:lvl>
    <w:lvl w:ilvl="6" w:tentative="0">
      <w:start w:val="1"/>
      <w:numFmt w:val="decimal"/>
      <w:lvlText w:val="%1.%2.%3.%4.%5.%6.%7"/>
      <w:lvlJc w:val="left"/>
      <w:pPr>
        <w:tabs>
          <w:tab w:val="left" w:pos="2700"/>
        </w:tabs>
        <w:ind w:left="2700" w:hanging="1440"/>
      </w:pPr>
      <w:rPr>
        <w:rFonts w:hint="default"/>
      </w:rPr>
    </w:lvl>
    <w:lvl w:ilvl="7" w:tentative="0">
      <w:start w:val="1"/>
      <w:numFmt w:val="decimal"/>
      <w:lvlText w:val="%1.%2.%3.%4.%5.%6.%7.%8"/>
      <w:lvlJc w:val="left"/>
      <w:pPr>
        <w:tabs>
          <w:tab w:val="left" w:pos="2910"/>
        </w:tabs>
        <w:ind w:left="2910" w:hanging="1440"/>
      </w:pPr>
      <w:rPr>
        <w:rFonts w:hint="default"/>
      </w:rPr>
    </w:lvl>
    <w:lvl w:ilvl="8" w:tentative="0">
      <w:start w:val="1"/>
      <w:numFmt w:val="decimal"/>
      <w:lvlText w:val="%1.%2.%3.%4.%5.%6.%7.%8.%9"/>
      <w:lvlJc w:val="left"/>
      <w:pPr>
        <w:tabs>
          <w:tab w:val="left" w:pos="3480"/>
        </w:tabs>
        <w:ind w:left="3480" w:hanging="1800"/>
      </w:pPr>
      <w:rPr>
        <w:rFonts w:hint="default"/>
      </w:rPr>
    </w:lvl>
  </w:abstractNum>
  <w:abstractNum w:abstractNumId="3">
    <w:nsid w:val="0000000B"/>
    <w:multiLevelType w:val="singleLevel"/>
    <w:tmpl w:val="0000000B"/>
    <w:lvl w:ilvl="0" w:tentative="0">
      <w:start w:val="1"/>
      <w:numFmt w:val="decimal"/>
      <w:suff w:val="nothing"/>
      <w:lvlText w:val="（%1）"/>
      <w:lvlJc w:val="left"/>
    </w:lvl>
  </w:abstractNum>
  <w:abstractNum w:abstractNumId="4">
    <w:nsid w:val="3CDFDEA7"/>
    <w:multiLevelType w:val="singleLevel"/>
    <w:tmpl w:val="3CDFDEA7"/>
    <w:lvl w:ilvl="0" w:tentative="0">
      <w:start w:val="2"/>
      <w:numFmt w:val="decimal"/>
      <w:lvlText w:val="%1."/>
      <w:lvlJc w:val="left"/>
      <w:pPr>
        <w:tabs>
          <w:tab w:val="left" w:pos="312"/>
        </w:tabs>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Mzk1MzI4NGU4ODZkZDdiYTNkMTBlNDA2MTVmNTQifQ=="/>
  </w:docVars>
  <w:rsids>
    <w:rsidRoot w:val="00000000"/>
    <w:rsid w:val="00134FF3"/>
    <w:rsid w:val="003D54A1"/>
    <w:rsid w:val="014D09FA"/>
    <w:rsid w:val="01656DBA"/>
    <w:rsid w:val="018A57AF"/>
    <w:rsid w:val="01916C5A"/>
    <w:rsid w:val="01B847F8"/>
    <w:rsid w:val="01E054EB"/>
    <w:rsid w:val="01FE1382"/>
    <w:rsid w:val="022913AE"/>
    <w:rsid w:val="025D0376"/>
    <w:rsid w:val="025D7E05"/>
    <w:rsid w:val="02661E94"/>
    <w:rsid w:val="028158D6"/>
    <w:rsid w:val="028A5262"/>
    <w:rsid w:val="0372635B"/>
    <w:rsid w:val="03AA5132"/>
    <w:rsid w:val="03C857EC"/>
    <w:rsid w:val="03DF1EFE"/>
    <w:rsid w:val="040C7261"/>
    <w:rsid w:val="041A1188"/>
    <w:rsid w:val="04701966"/>
    <w:rsid w:val="04C947C2"/>
    <w:rsid w:val="04D63E97"/>
    <w:rsid w:val="04FB7789"/>
    <w:rsid w:val="05215366"/>
    <w:rsid w:val="05254FFE"/>
    <w:rsid w:val="0534297E"/>
    <w:rsid w:val="056337F9"/>
    <w:rsid w:val="056B7F96"/>
    <w:rsid w:val="05831184"/>
    <w:rsid w:val="05E308C4"/>
    <w:rsid w:val="05F575BE"/>
    <w:rsid w:val="0662095B"/>
    <w:rsid w:val="067F548B"/>
    <w:rsid w:val="069164E7"/>
    <w:rsid w:val="069322B3"/>
    <w:rsid w:val="069A41F0"/>
    <w:rsid w:val="06D03D80"/>
    <w:rsid w:val="07465DF0"/>
    <w:rsid w:val="075A61D7"/>
    <w:rsid w:val="07A56FBB"/>
    <w:rsid w:val="07BF737D"/>
    <w:rsid w:val="082F74EE"/>
    <w:rsid w:val="0853506F"/>
    <w:rsid w:val="088272F6"/>
    <w:rsid w:val="08C77948"/>
    <w:rsid w:val="09311852"/>
    <w:rsid w:val="099F31F7"/>
    <w:rsid w:val="09A45050"/>
    <w:rsid w:val="09C63218"/>
    <w:rsid w:val="09DF58B5"/>
    <w:rsid w:val="0A056986"/>
    <w:rsid w:val="0A1556DA"/>
    <w:rsid w:val="0A215A95"/>
    <w:rsid w:val="0A5E0B0E"/>
    <w:rsid w:val="0A89139F"/>
    <w:rsid w:val="0A965B64"/>
    <w:rsid w:val="0B0154CB"/>
    <w:rsid w:val="0B1249B6"/>
    <w:rsid w:val="0B4D1E43"/>
    <w:rsid w:val="0B7078E0"/>
    <w:rsid w:val="0BA26831"/>
    <w:rsid w:val="0BA95AA6"/>
    <w:rsid w:val="0BBF2903"/>
    <w:rsid w:val="0BC631DE"/>
    <w:rsid w:val="0C575F4D"/>
    <w:rsid w:val="0C605BA6"/>
    <w:rsid w:val="0C675B20"/>
    <w:rsid w:val="0C8A77DB"/>
    <w:rsid w:val="0CD87881"/>
    <w:rsid w:val="0D5A560E"/>
    <w:rsid w:val="0D5C216E"/>
    <w:rsid w:val="0D877769"/>
    <w:rsid w:val="0D9426A9"/>
    <w:rsid w:val="0DBD2F70"/>
    <w:rsid w:val="0DEB1642"/>
    <w:rsid w:val="0DFC1A50"/>
    <w:rsid w:val="0E0311A2"/>
    <w:rsid w:val="0E5308B7"/>
    <w:rsid w:val="0E6B3CDE"/>
    <w:rsid w:val="0E8F4578"/>
    <w:rsid w:val="0EDB4979"/>
    <w:rsid w:val="0EEE3633"/>
    <w:rsid w:val="0EF07299"/>
    <w:rsid w:val="0EFA21E0"/>
    <w:rsid w:val="0F130EA4"/>
    <w:rsid w:val="0F317386"/>
    <w:rsid w:val="0F5D11DC"/>
    <w:rsid w:val="0F9176B4"/>
    <w:rsid w:val="0FB474F6"/>
    <w:rsid w:val="10821DF8"/>
    <w:rsid w:val="10B20503"/>
    <w:rsid w:val="111516BD"/>
    <w:rsid w:val="112D0074"/>
    <w:rsid w:val="115158C6"/>
    <w:rsid w:val="11560249"/>
    <w:rsid w:val="11984405"/>
    <w:rsid w:val="11AE1BE9"/>
    <w:rsid w:val="11B274E0"/>
    <w:rsid w:val="11DF7263"/>
    <w:rsid w:val="11EE5473"/>
    <w:rsid w:val="131F6D6A"/>
    <w:rsid w:val="133639F0"/>
    <w:rsid w:val="13556C90"/>
    <w:rsid w:val="13647C51"/>
    <w:rsid w:val="139060A4"/>
    <w:rsid w:val="13C813CC"/>
    <w:rsid w:val="13CA1573"/>
    <w:rsid w:val="13D40975"/>
    <w:rsid w:val="13F750E0"/>
    <w:rsid w:val="141D43E5"/>
    <w:rsid w:val="14426F0C"/>
    <w:rsid w:val="144D1D62"/>
    <w:rsid w:val="15154CAB"/>
    <w:rsid w:val="157A3675"/>
    <w:rsid w:val="157F46D9"/>
    <w:rsid w:val="15945B77"/>
    <w:rsid w:val="15B42934"/>
    <w:rsid w:val="16604BDA"/>
    <w:rsid w:val="168C457F"/>
    <w:rsid w:val="169E3F32"/>
    <w:rsid w:val="171B1A00"/>
    <w:rsid w:val="173247CB"/>
    <w:rsid w:val="173D5243"/>
    <w:rsid w:val="177B42CF"/>
    <w:rsid w:val="178C76D5"/>
    <w:rsid w:val="17A74DC8"/>
    <w:rsid w:val="17CD6517"/>
    <w:rsid w:val="17EC4792"/>
    <w:rsid w:val="17FD546C"/>
    <w:rsid w:val="180F1D66"/>
    <w:rsid w:val="181C66CF"/>
    <w:rsid w:val="182D42C1"/>
    <w:rsid w:val="18843664"/>
    <w:rsid w:val="18B9631E"/>
    <w:rsid w:val="18BD0B15"/>
    <w:rsid w:val="19112130"/>
    <w:rsid w:val="196463E4"/>
    <w:rsid w:val="196547FC"/>
    <w:rsid w:val="196924AE"/>
    <w:rsid w:val="19A029B2"/>
    <w:rsid w:val="19EE2A43"/>
    <w:rsid w:val="1A33375E"/>
    <w:rsid w:val="1A79632C"/>
    <w:rsid w:val="1AA02767"/>
    <w:rsid w:val="1AB001F2"/>
    <w:rsid w:val="1B1C713C"/>
    <w:rsid w:val="1B384971"/>
    <w:rsid w:val="1B6A1BFB"/>
    <w:rsid w:val="1BAF7782"/>
    <w:rsid w:val="1BBC2058"/>
    <w:rsid w:val="1BCD48DA"/>
    <w:rsid w:val="1BE55AB2"/>
    <w:rsid w:val="1CC17F9B"/>
    <w:rsid w:val="1D664909"/>
    <w:rsid w:val="1DD117F2"/>
    <w:rsid w:val="1DEF63CA"/>
    <w:rsid w:val="1E081A60"/>
    <w:rsid w:val="1E21194E"/>
    <w:rsid w:val="1E2E3E21"/>
    <w:rsid w:val="1E397FCE"/>
    <w:rsid w:val="1E3D46AC"/>
    <w:rsid w:val="1E832A02"/>
    <w:rsid w:val="1EDD7D79"/>
    <w:rsid w:val="1F106FB8"/>
    <w:rsid w:val="1F1D203A"/>
    <w:rsid w:val="1F7B1D65"/>
    <w:rsid w:val="1FDE0C5D"/>
    <w:rsid w:val="2016367C"/>
    <w:rsid w:val="20263A73"/>
    <w:rsid w:val="20533B6E"/>
    <w:rsid w:val="208A717F"/>
    <w:rsid w:val="2096332B"/>
    <w:rsid w:val="20A63F71"/>
    <w:rsid w:val="20C0125B"/>
    <w:rsid w:val="20E9291B"/>
    <w:rsid w:val="217926CF"/>
    <w:rsid w:val="219B3715"/>
    <w:rsid w:val="21BA6A42"/>
    <w:rsid w:val="220B06C7"/>
    <w:rsid w:val="22455B8D"/>
    <w:rsid w:val="224C02D2"/>
    <w:rsid w:val="225E003A"/>
    <w:rsid w:val="226B7979"/>
    <w:rsid w:val="22BD7847"/>
    <w:rsid w:val="22C6056A"/>
    <w:rsid w:val="22EA3A46"/>
    <w:rsid w:val="23294657"/>
    <w:rsid w:val="23671B57"/>
    <w:rsid w:val="23BC770E"/>
    <w:rsid w:val="23D36806"/>
    <w:rsid w:val="23E85183"/>
    <w:rsid w:val="24622DBD"/>
    <w:rsid w:val="24B14D99"/>
    <w:rsid w:val="24E50439"/>
    <w:rsid w:val="25312B28"/>
    <w:rsid w:val="253D3FE0"/>
    <w:rsid w:val="25874B94"/>
    <w:rsid w:val="25A03D3B"/>
    <w:rsid w:val="25D80938"/>
    <w:rsid w:val="25E22D2A"/>
    <w:rsid w:val="26350FB4"/>
    <w:rsid w:val="266A337F"/>
    <w:rsid w:val="26785DA9"/>
    <w:rsid w:val="267F7516"/>
    <w:rsid w:val="270A0959"/>
    <w:rsid w:val="2758774E"/>
    <w:rsid w:val="279E4159"/>
    <w:rsid w:val="27A5263B"/>
    <w:rsid w:val="27B955C2"/>
    <w:rsid w:val="27E5331B"/>
    <w:rsid w:val="28160EEC"/>
    <w:rsid w:val="28A6151B"/>
    <w:rsid w:val="291200DF"/>
    <w:rsid w:val="29211209"/>
    <w:rsid w:val="29395F05"/>
    <w:rsid w:val="294B4B35"/>
    <w:rsid w:val="294F65BF"/>
    <w:rsid w:val="2951184F"/>
    <w:rsid w:val="2978391B"/>
    <w:rsid w:val="29821231"/>
    <w:rsid w:val="29AA6528"/>
    <w:rsid w:val="29B6075C"/>
    <w:rsid w:val="29E544EB"/>
    <w:rsid w:val="2A437445"/>
    <w:rsid w:val="2A4A17BC"/>
    <w:rsid w:val="2A562929"/>
    <w:rsid w:val="2A7766E5"/>
    <w:rsid w:val="2A824CF7"/>
    <w:rsid w:val="2AC973CA"/>
    <w:rsid w:val="2AD87B18"/>
    <w:rsid w:val="2ADB7138"/>
    <w:rsid w:val="2AEA3F53"/>
    <w:rsid w:val="2B904C4D"/>
    <w:rsid w:val="2B914EFE"/>
    <w:rsid w:val="2BA27BA8"/>
    <w:rsid w:val="2BCE71FC"/>
    <w:rsid w:val="2C2B38D4"/>
    <w:rsid w:val="2C390A21"/>
    <w:rsid w:val="2C3A362E"/>
    <w:rsid w:val="2C73130F"/>
    <w:rsid w:val="2D2568FA"/>
    <w:rsid w:val="2D2A56E9"/>
    <w:rsid w:val="2D300146"/>
    <w:rsid w:val="2D600706"/>
    <w:rsid w:val="2D621F94"/>
    <w:rsid w:val="2D65288D"/>
    <w:rsid w:val="2D6C1A7C"/>
    <w:rsid w:val="2D895A12"/>
    <w:rsid w:val="2DBB03E4"/>
    <w:rsid w:val="2E00644A"/>
    <w:rsid w:val="2E20024A"/>
    <w:rsid w:val="2E7F7CB6"/>
    <w:rsid w:val="2EB268FD"/>
    <w:rsid w:val="2EC91E4A"/>
    <w:rsid w:val="2EE04960"/>
    <w:rsid w:val="2F0C4D9C"/>
    <w:rsid w:val="2F326AD7"/>
    <w:rsid w:val="2F76399E"/>
    <w:rsid w:val="2F963467"/>
    <w:rsid w:val="2FA15A0A"/>
    <w:rsid w:val="2FCB6D93"/>
    <w:rsid w:val="2FCF07C9"/>
    <w:rsid w:val="2FD5643B"/>
    <w:rsid w:val="2FD6245B"/>
    <w:rsid w:val="304C1E1A"/>
    <w:rsid w:val="309E7A51"/>
    <w:rsid w:val="30F524B2"/>
    <w:rsid w:val="31260427"/>
    <w:rsid w:val="31A0241D"/>
    <w:rsid w:val="31A724A7"/>
    <w:rsid w:val="321A1FBC"/>
    <w:rsid w:val="32232740"/>
    <w:rsid w:val="322E5C7B"/>
    <w:rsid w:val="32B01E7B"/>
    <w:rsid w:val="32BA12BD"/>
    <w:rsid w:val="32D72945"/>
    <w:rsid w:val="32DF57E0"/>
    <w:rsid w:val="330B1CDB"/>
    <w:rsid w:val="330C5891"/>
    <w:rsid w:val="33D12D62"/>
    <w:rsid w:val="33EA3E4A"/>
    <w:rsid w:val="33F94ABE"/>
    <w:rsid w:val="340D2785"/>
    <w:rsid w:val="34561A0A"/>
    <w:rsid w:val="348A2EF3"/>
    <w:rsid w:val="349935AC"/>
    <w:rsid w:val="34DF452B"/>
    <w:rsid w:val="34E11FEF"/>
    <w:rsid w:val="34EF0ED1"/>
    <w:rsid w:val="35212391"/>
    <w:rsid w:val="35415DE3"/>
    <w:rsid w:val="357121F8"/>
    <w:rsid w:val="35793269"/>
    <w:rsid w:val="35D254B5"/>
    <w:rsid w:val="35F04CE6"/>
    <w:rsid w:val="36266C69"/>
    <w:rsid w:val="362A0508"/>
    <w:rsid w:val="36604F1A"/>
    <w:rsid w:val="36EA7917"/>
    <w:rsid w:val="36FF3742"/>
    <w:rsid w:val="37031A7D"/>
    <w:rsid w:val="370F2584"/>
    <w:rsid w:val="379B6487"/>
    <w:rsid w:val="37FF28E9"/>
    <w:rsid w:val="380E4B60"/>
    <w:rsid w:val="381E5E4A"/>
    <w:rsid w:val="38A26B69"/>
    <w:rsid w:val="38B0067F"/>
    <w:rsid w:val="38DD7183"/>
    <w:rsid w:val="38E01769"/>
    <w:rsid w:val="38EC5A6B"/>
    <w:rsid w:val="390406DE"/>
    <w:rsid w:val="392751D2"/>
    <w:rsid w:val="39417DE7"/>
    <w:rsid w:val="394D52AB"/>
    <w:rsid w:val="39676CBC"/>
    <w:rsid w:val="39E162CF"/>
    <w:rsid w:val="39E635FB"/>
    <w:rsid w:val="39FE3167"/>
    <w:rsid w:val="3A1D70AA"/>
    <w:rsid w:val="3A241CE2"/>
    <w:rsid w:val="3ABD1DD4"/>
    <w:rsid w:val="3AEB0D17"/>
    <w:rsid w:val="3AFC7E27"/>
    <w:rsid w:val="3B0E2B6B"/>
    <w:rsid w:val="3B4B321F"/>
    <w:rsid w:val="3B996504"/>
    <w:rsid w:val="3BD01B51"/>
    <w:rsid w:val="3C261442"/>
    <w:rsid w:val="3C6F6203"/>
    <w:rsid w:val="3CEF7622"/>
    <w:rsid w:val="3D24777C"/>
    <w:rsid w:val="3D31263E"/>
    <w:rsid w:val="3DC76F84"/>
    <w:rsid w:val="3E32756A"/>
    <w:rsid w:val="3EB47586"/>
    <w:rsid w:val="3ECC5B17"/>
    <w:rsid w:val="3EEB6F50"/>
    <w:rsid w:val="3F067678"/>
    <w:rsid w:val="3F372163"/>
    <w:rsid w:val="3F68745A"/>
    <w:rsid w:val="3FC714BD"/>
    <w:rsid w:val="3FD91FBA"/>
    <w:rsid w:val="404E6FB3"/>
    <w:rsid w:val="405737B8"/>
    <w:rsid w:val="40620D03"/>
    <w:rsid w:val="408F0279"/>
    <w:rsid w:val="40A44C0C"/>
    <w:rsid w:val="40EE2526"/>
    <w:rsid w:val="411057B1"/>
    <w:rsid w:val="41177F49"/>
    <w:rsid w:val="41883195"/>
    <w:rsid w:val="41D3503E"/>
    <w:rsid w:val="41E436EB"/>
    <w:rsid w:val="41E55872"/>
    <w:rsid w:val="42010CB6"/>
    <w:rsid w:val="422B5D33"/>
    <w:rsid w:val="422F6010"/>
    <w:rsid w:val="42512892"/>
    <w:rsid w:val="425E74FF"/>
    <w:rsid w:val="4267543F"/>
    <w:rsid w:val="42B373F0"/>
    <w:rsid w:val="42EB2592"/>
    <w:rsid w:val="4304139C"/>
    <w:rsid w:val="43086584"/>
    <w:rsid w:val="43183935"/>
    <w:rsid w:val="4322598C"/>
    <w:rsid w:val="433A4435"/>
    <w:rsid w:val="4341626C"/>
    <w:rsid w:val="434E5F66"/>
    <w:rsid w:val="43866F99"/>
    <w:rsid w:val="438701E2"/>
    <w:rsid w:val="43910DE5"/>
    <w:rsid w:val="4415745D"/>
    <w:rsid w:val="444801E0"/>
    <w:rsid w:val="44FC62AC"/>
    <w:rsid w:val="451D00B0"/>
    <w:rsid w:val="465E3BFB"/>
    <w:rsid w:val="46F633B4"/>
    <w:rsid w:val="47722BDD"/>
    <w:rsid w:val="479B3C35"/>
    <w:rsid w:val="47E1101F"/>
    <w:rsid w:val="47F3038E"/>
    <w:rsid w:val="47FD08B5"/>
    <w:rsid w:val="481C1C7A"/>
    <w:rsid w:val="482B7E61"/>
    <w:rsid w:val="483445C3"/>
    <w:rsid w:val="48603B7F"/>
    <w:rsid w:val="48B9165E"/>
    <w:rsid w:val="48DC408B"/>
    <w:rsid w:val="48F84379"/>
    <w:rsid w:val="49405861"/>
    <w:rsid w:val="49D1546E"/>
    <w:rsid w:val="49E55011"/>
    <w:rsid w:val="49EF2EE8"/>
    <w:rsid w:val="4AAF6DD6"/>
    <w:rsid w:val="4AD16182"/>
    <w:rsid w:val="4B1E3676"/>
    <w:rsid w:val="4B4B34EE"/>
    <w:rsid w:val="4BB47681"/>
    <w:rsid w:val="4BC63FFA"/>
    <w:rsid w:val="4BFE1DC3"/>
    <w:rsid w:val="4C013661"/>
    <w:rsid w:val="4C0C1A18"/>
    <w:rsid w:val="4C3A1A64"/>
    <w:rsid w:val="4C692BD0"/>
    <w:rsid w:val="4C6E6110"/>
    <w:rsid w:val="4C6F0B3A"/>
    <w:rsid w:val="4C8F45E2"/>
    <w:rsid w:val="4CEB0FD5"/>
    <w:rsid w:val="4CFA0F8B"/>
    <w:rsid w:val="4D536FE5"/>
    <w:rsid w:val="4DE17AC7"/>
    <w:rsid w:val="4E023529"/>
    <w:rsid w:val="4E41243B"/>
    <w:rsid w:val="4E417B6E"/>
    <w:rsid w:val="4EF92717"/>
    <w:rsid w:val="4F5716E1"/>
    <w:rsid w:val="4F63587C"/>
    <w:rsid w:val="4F8E6DA1"/>
    <w:rsid w:val="4F9E5728"/>
    <w:rsid w:val="4FA0108C"/>
    <w:rsid w:val="4FD6332E"/>
    <w:rsid w:val="4FE82D58"/>
    <w:rsid w:val="4FED199C"/>
    <w:rsid w:val="4FF46107"/>
    <w:rsid w:val="4FF82BEA"/>
    <w:rsid w:val="501202FE"/>
    <w:rsid w:val="50476820"/>
    <w:rsid w:val="50B60FC1"/>
    <w:rsid w:val="50C7136B"/>
    <w:rsid w:val="50E35648"/>
    <w:rsid w:val="50F96FFC"/>
    <w:rsid w:val="50F97B1E"/>
    <w:rsid w:val="513943A8"/>
    <w:rsid w:val="513B42E5"/>
    <w:rsid w:val="513E5E8D"/>
    <w:rsid w:val="515B3813"/>
    <w:rsid w:val="517843C5"/>
    <w:rsid w:val="51C91FDB"/>
    <w:rsid w:val="51D546E2"/>
    <w:rsid w:val="526C31B7"/>
    <w:rsid w:val="52BC488C"/>
    <w:rsid w:val="530E129B"/>
    <w:rsid w:val="532430F5"/>
    <w:rsid w:val="532B4BF6"/>
    <w:rsid w:val="53A15682"/>
    <w:rsid w:val="53BB6326"/>
    <w:rsid w:val="54322008"/>
    <w:rsid w:val="547215A0"/>
    <w:rsid w:val="54D84311"/>
    <w:rsid w:val="54FE6100"/>
    <w:rsid w:val="555C2AC1"/>
    <w:rsid w:val="55A40CB2"/>
    <w:rsid w:val="55CD4BC0"/>
    <w:rsid w:val="55D17BBC"/>
    <w:rsid w:val="55F91FAA"/>
    <w:rsid w:val="56350AD7"/>
    <w:rsid w:val="56776E21"/>
    <w:rsid w:val="56A673F0"/>
    <w:rsid w:val="56E40CE7"/>
    <w:rsid w:val="571D261D"/>
    <w:rsid w:val="573C4609"/>
    <w:rsid w:val="574F4B46"/>
    <w:rsid w:val="57641F12"/>
    <w:rsid w:val="577E55A6"/>
    <w:rsid w:val="58100A72"/>
    <w:rsid w:val="581877B1"/>
    <w:rsid w:val="584B43EA"/>
    <w:rsid w:val="584C2AAF"/>
    <w:rsid w:val="593E7CF8"/>
    <w:rsid w:val="59E13D98"/>
    <w:rsid w:val="59F14D15"/>
    <w:rsid w:val="5A8804B0"/>
    <w:rsid w:val="5A9304C2"/>
    <w:rsid w:val="5A963B0E"/>
    <w:rsid w:val="5B2B329F"/>
    <w:rsid w:val="5BCA1CC1"/>
    <w:rsid w:val="5BE30833"/>
    <w:rsid w:val="5C56415A"/>
    <w:rsid w:val="5C782B8E"/>
    <w:rsid w:val="5D0E3FBA"/>
    <w:rsid w:val="5D7619B6"/>
    <w:rsid w:val="5DAB143A"/>
    <w:rsid w:val="5DC42740"/>
    <w:rsid w:val="5DD30137"/>
    <w:rsid w:val="5DD40229"/>
    <w:rsid w:val="5DE06DDD"/>
    <w:rsid w:val="5DE2603B"/>
    <w:rsid w:val="5DF71AE4"/>
    <w:rsid w:val="5E0F4B53"/>
    <w:rsid w:val="5E512418"/>
    <w:rsid w:val="5E8E0A9C"/>
    <w:rsid w:val="5E9511A4"/>
    <w:rsid w:val="5E9F51AE"/>
    <w:rsid w:val="5EEE48D6"/>
    <w:rsid w:val="5F013C4C"/>
    <w:rsid w:val="5F0E057C"/>
    <w:rsid w:val="5F2A7F32"/>
    <w:rsid w:val="5F342E1A"/>
    <w:rsid w:val="5FB51668"/>
    <w:rsid w:val="5FB64FDD"/>
    <w:rsid w:val="5FB97E54"/>
    <w:rsid w:val="5FBF2432"/>
    <w:rsid w:val="5FEC026F"/>
    <w:rsid w:val="5FFF15CB"/>
    <w:rsid w:val="60531DBA"/>
    <w:rsid w:val="605976A2"/>
    <w:rsid w:val="60A049CD"/>
    <w:rsid w:val="60DB486A"/>
    <w:rsid w:val="611807AB"/>
    <w:rsid w:val="61306FE2"/>
    <w:rsid w:val="6131430C"/>
    <w:rsid w:val="61830E6B"/>
    <w:rsid w:val="61976615"/>
    <w:rsid w:val="61C176C2"/>
    <w:rsid w:val="61C51F93"/>
    <w:rsid w:val="621362CE"/>
    <w:rsid w:val="6233116D"/>
    <w:rsid w:val="624D08D8"/>
    <w:rsid w:val="630D670F"/>
    <w:rsid w:val="63682FEE"/>
    <w:rsid w:val="6375498B"/>
    <w:rsid w:val="637B472C"/>
    <w:rsid w:val="63B21F91"/>
    <w:rsid w:val="64202C44"/>
    <w:rsid w:val="647C1FC7"/>
    <w:rsid w:val="64D333E6"/>
    <w:rsid w:val="64E61576"/>
    <w:rsid w:val="64F979CC"/>
    <w:rsid w:val="650D2C1F"/>
    <w:rsid w:val="65422D5F"/>
    <w:rsid w:val="65476131"/>
    <w:rsid w:val="657339D9"/>
    <w:rsid w:val="65AD6A7A"/>
    <w:rsid w:val="65B70883"/>
    <w:rsid w:val="65B806E9"/>
    <w:rsid w:val="65D06720"/>
    <w:rsid w:val="661A09FE"/>
    <w:rsid w:val="6648062D"/>
    <w:rsid w:val="6657746F"/>
    <w:rsid w:val="666B00BF"/>
    <w:rsid w:val="6699008D"/>
    <w:rsid w:val="66E32002"/>
    <w:rsid w:val="66F61F38"/>
    <w:rsid w:val="670B0801"/>
    <w:rsid w:val="672C7F92"/>
    <w:rsid w:val="673B5FCC"/>
    <w:rsid w:val="6740732C"/>
    <w:rsid w:val="67C60C40"/>
    <w:rsid w:val="68040309"/>
    <w:rsid w:val="68420E31"/>
    <w:rsid w:val="68A744DC"/>
    <w:rsid w:val="68C03460"/>
    <w:rsid w:val="68DF4F3B"/>
    <w:rsid w:val="690C42B2"/>
    <w:rsid w:val="6963698D"/>
    <w:rsid w:val="69701542"/>
    <w:rsid w:val="697E3F2A"/>
    <w:rsid w:val="69CE02FF"/>
    <w:rsid w:val="6A0C16F7"/>
    <w:rsid w:val="6A3B0684"/>
    <w:rsid w:val="6A5055E6"/>
    <w:rsid w:val="6A963CBD"/>
    <w:rsid w:val="6AA05AD8"/>
    <w:rsid w:val="6B164FE5"/>
    <w:rsid w:val="6B4868B9"/>
    <w:rsid w:val="6B612F38"/>
    <w:rsid w:val="6BB838E4"/>
    <w:rsid w:val="6BCB5106"/>
    <w:rsid w:val="6BD72A7C"/>
    <w:rsid w:val="6BD91777"/>
    <w:rsid w:val="6BE72DB2"/>
    <w:rsid w:val="6BF30DC0"/>
    <w:rsid w:val="6C523D39"/>
    <w:rsid w:val="6C55133B"/>
    <w:rsid w:val="6CB07284"/>
    <w:rsid w:val="6CC640CD"/>
    <w:rsid w:val="6CD8389B"/>
    <w:rsid w:val="6CF65D4C"/>
    <w:rsid w:val="6D320D1F"/>
    <w:rsid w:val="6D34752C"/>
    <w:rsid w:val="6D784E83"/>
    <w:rsid w:val="6D895660"/>
    <w:rsid w:val="6D976063"/>
    <w:rsid w:val="6DB04FC3"/>
    <w:rsid w:val="6DBE735B"/>
    <w:rsid w:val="6E024358"/>
    <w:rsid w:val="6E110369"/>
    <w:rsid w:val="6E132DD6"/>
    <w:rsid w:val="6E3D27C7"/>
    <w:rsid w:val="6EAC24A7"/>
    <w:rsid w:val="6EC764E5"/>
    <w:rsid w:val="6F3658D7"/>
    <w:rsid w:val="6F51652A"/>
    <w:rsid w:val="6F573B29"/>
    <w:rsid w:val="6F5A5A76"/>
    <w:rsid w:val="6F606FB2"/>
    <w:rsid w:val="6F820066"/>
    <w:rsid w:val="6F885426"/>
    <w:rsid w:val="6FAE7517"/>
    <w:rsid w:val="6FE17B6D"/>
    <w:rsid w:val="709C35E4"/>
    <w:rsid w:val="70AE379D"/>
    <w:rsid w:val="710F1F1C"/>
    <w:rsid w:val="713B5A05"/>
    <w:rsid w:val="714A296F"/>
    <w:rsid w:val="71793B16"/>
    <w:rsid w:val="718C0F4F"/>
    <w:rsid w:val="71944384"/>
    <w:rsid w:val="71E31742"/>
    <w:rsid w:val="71E80A77"/>
    <w:rsid w:val="721D0945"/>
    <w:rsid w:val="7267406E"/>
    <w:rsid w:val="72795083"/>
    <w:rsid w:val="729037C8"/>
    <w:rsid w:val="72B63A34"/>
    <w:rsid w:val="72EE4080"/>
    <w:rsid w:val="730F0517"/>
    <w:rsid w:val="734F24B8"/>
    <w:rsid w:val="735923A9"/>
    <w:rsid w:val="736507EC"/>
    <w:rsid w:val="73742B39"/>
    <w:rsid w:val="73852348"/>
    <w:rsid w:val="74471CA9"/>
    <w:rsid w:val="748B36FD"/>
    <w:rsid w:val="74A06E16"/>
    <w:rsid w:val="74B15375"/>
    <w:rsid w:val="74C91279"/>
    <w:rsid w:val="75186859"/>
    <w:rsid w:val="751E32F4"/>
    <w:rsid w:val="75482EE5"/>
    <w:rsid w:val="755E3DA9"/>
    <w:rsid w:val="75740737"/>
    <w:rsid w:val="757473B1"/>
    <w:rsid w:val="75DE03EB"/>
    <w:rsid w:val="75FA1FC4"/>
    <w:rsid w:val="761419BF"/>
    <w:rsid w:val="76AF6FC0"/>
    <w:rsid w:val="76C63F6F"/>
    <w:rsid w:val="76FC0093"/>
    <w:rsid w:val="771E547E"/>
    <w:rsid w:val="77390B09"/>
    <w:rsid w:val="77763B61"/>
    <w:rsid w:val="777D1E86"/>
    <w:rsid w:val="77D55FB5"/>
    <w:rsid w:val="77F54B7F"/>
    <w:rsid w:val="78054D20"/>
    <w:rsid w:val="78080DA9"/>
    <w:rsid w:val="78112CFA"/>
    <w:rsid w:val="78A264E5"/>
    <w:rsid w:val="78D91861"/>
    <w:rsid w:val="78D93B02"/>
    <w:rsid w:val="78FB3197"/>
    <w:rsid w:val="7931117A"/>
    <w:rsid w:val="7931250E"/>
    <w:rsid w:val="794A5D98"/>
    <w:rsid w:val="795A4208"/>
    <w:rsid w:val="7A547B44"/>
    <w:rsid w:val="7A572509"/>
    <w:rsid w:val="7A821AAE"/>
    <w:rsid w:val="7AA40CCC"/>
    <w:rsid w:val="7AA51835"/>
    <w:rsid w:val="7B2F4BF1"/>
    <w:rsid w:val="7B3119BB"/>
    <w:rsid w:val="7B3C38F0"/>
    <w:rsid w:val="7B8C2698"/>
    <w:rsid w:val="7BA422D3"/>
    <w:rsid w:val="7BC5283D"/>
    <w:rsid w:val="7BD96E14"/>
    <w:rsid w:val="7C38717C"/>
    <w:rsid w:val="7C3F3226"/>
    <w:rsid w:val="7C8B294F"/>
    <w:rsid w:val="7C9E0198"/>
    <w:rsid w:val="7CEA1D6C"/>
    <w:rsid w:val="7D4B1E05"/>
    <w:rsid w:val="7D7B6815"/>
    <w:rsid w:val="7D8E3976"/>
    <w:rsid w:val="7D8F646F"/>
    <w:rsid w:val="7DCE4CA5"/>
    <w:rsid w:val="7DD00F61"/>
    <w:rsid w:val="7DF870B2"/>
    <w:rsid w:val="7E29712F"/>
    <w:rsid w:val="7E2D3553"/>
    <w:rsid w:val="7E3C03A5"/>
    <w:rsid w:val="7E592E97"/>
    <w:rsid w:val="7E9C0DC2"/>
    <w:rsid w:val="7E9C4CEC"/>
    <w:rsid w:val="7ECC0F6D"/>
    <w:rsid w:val="7FA135F0"/>
    <w:rsid w:val="7FA2248A"/>
    <w:rsid w:val="7FE65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autoRedefine/>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5">
    <w:name w:val="heading 4"/>
    <w:next w:val="1"/>
    <w:autoRedefine/>
    <w:qFormat/>
    <w:uiPriority w:val="0"/>
    <w:pPr>
      <w:keepNext/>
      <w:keepLines/>
      <w:widowControl w:val="0"/>
      <w:spacing w:before="280" w:beforeLines="0" w:after="290" w:afterLines="0" w:line="372" w:lineRule="auto"/>
      <w:jc w:val="both"/>
      <w:outlineLvl w:val="3"/>
    </w:pPr>
    <w:rPr>
      <w:rFonts w:ascii="Cambria" w:hAnsi="Cambria" w:eastAsia="宋体" w:cs="Times New Roman"/>
      <w:b/>
      <w:bCs/>
      <w:kern w:val="2"/>
      <w:sz w:val="28"/>
      <w:szCs w:val="28"/>
      <w:lang w:val="en-US" w:eastAsia="zh-CN" w:bidi="ar-SA"/>
    </w:rPr>
  </w:style>
  <w:style w:type="character" w:default="1" w:styleId="30">
    <w:name w:val="Default Paragraph Font"/>
    <w:autoRedefine/>
    <w:semiHidden/>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adjustRightInd w:val="0"/>
      <w:snapToGrid w:val="0"/>
      <w:spacing w:before="100" w:beforeLines="0" w:beforeAutospacing="1" w:after="100" w:afterLines="0" w:afterAutospacing="1" w:line="440" w:lineRule="atLeast"/>
      <w:ind w:firstLine="420" w:firstLineChars="200"/>
      <w:jc w:val="left"/>
    </w:pPr>
    <w:rPr>
      <w:rFonts w:ascii="宋体" w:hAnsi="宋体"/>
      <w:sz w:val="24"/>
      <w:szCs w:val="20"/>
    </w:rPr>
  </w:style>
  <w:style w:type="paragraph" w:styleId="7">
    <w:name w:val="caption"/>
    <w:basedOn w:val="1"/>
    <w:next w:val="1"/>
    <w:autoRedefine/>
    <w:qFormat/>
    <w:uiPriority w:val="99"/>
    <w:rPr>
      <w:rFonts w:ascii="Cambria" w:hAnsi="Cambria" w:eastAsia="黑体" w:cs="Cambria"/>
      <w:sz w:val="20"/>
      <w:szCs w:val="20"/>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adjustRightInd w:val="0"/>
      <w:spacing w:after="60" w:line="360" w:lineRule="atLeast"/>
      <w:ind w:left="72" w:leftChars="30" w:right="30" w:rightChars="30"/>
      <w:jc w:val="center"/>
      <w:textAlignment w:val="baseline"/>
    </w:pPr>
    <w:rPr>
      <w:rFonts w:ascii="Times New Roman" w:hAnsi="Times New Roman" w:eastAsia="宋体" w:cs="Times New Roman"/>
      <w:lang w:val="en-US" w:eastAsia="zh-CN" w:bidi="ar-SA"/>
    </w:rPr>
  </w:style>
  <w:style w:type="paragraph" w:styleId="10">
    <w:name w:val="Body Text 2"/>
    <w:basedOn w:val="1"/>
    <w:next w:val="11"/>
    <w:autoRedefine/>
    <w:qFormat/>
    <w:uiPriority w:val="0"/>
    <w:pPr>
      <w:spacing w:after="120" w:line="480" w:lineRule="auto"/>
    </w:pPr>
  </w:style>
  <w:style w:type="paragraph" w:customStyle="1" w:styleId="11">
    <w:name w:val="标书正文居左"/>
    <w:next w:val="12"/>
    <w:autoRedefine/>
    <w:qFormat/>
    <w:uiPriority w:val="0"/>
    <w:pPr>
      <w:widowControl w:val="0"/>
      <w:spacing w:before="50" w:line="480" w:lineRule="exact"/>
      <w:jc w:val="both"/>
    </w:pPr>
    <w:rPr>
      <w:rFonts w:ascii="Calibri" w:hAnsi="Calibri" w:eastAsia="黑体" w:cs="Times New Roman"/>
      <w:b/>
      <w:sz w:val="28"/>
      <w:lang w:val="en-US" w:eastAsia="zh-CN" w:bidi="ar-SA"/>
    </w:rPr>
  </w:style>
  <w:style w:type="paragraph" w:customStyle="1" w:styleId="12">
    <w:name w:val="xl63"/>
    <w:basedOn w:val="1"/>
    <w:next w:val="13"/>
    <w:autoRedefine/>
    <w:qFormat/>
    <w:uiPriority w:val="0"/>
    <w:pPr>
      <w:shd w:val="clear" w:color="000000" w:fill="FFFFFF"/>
      <w:spacing w:before="280" w:after="280"/>
      <w:jc w:val="center"/>
    </w:pPr>
    <w:rPr>
      <w:rFonts w:ascii="宋体" w:eastAsia="宋体"/>
      <w:color w:val="000000"/>
      <w:sz w:val="24"/>
    </w:rPr>
  </w:style>
  <w:style w:type="paragraph" w:customStyle="1" w:styleId="13">
    <w:name w:val="xl64"/>
    <w:basedOn w:val="1"/>
    <w:next w:val="1"/>
    <w:autoRedefine/>
    <w:qFormat/>
    <w:uiPriority w:val="0"/>
    <w:pPr>
      <w:shd w:val="clear" w:color="000000" w:fill="FFFFFF"/>
      <w:spacing w:before="280" w:after="280"/>
      <w:jc w:val="both"/>
    </w:pPr>
    <w:rPr>
      <w:rFonts w:ascii="宋体" w:eastAsia="宋体"/>
      <w:color w:val="000000"/>
      <w:sz w:val="24"/>
    </w:rPr>
  </w:style>
  <w:style w:type="paragraph" w:styleId="14">
    <w:name w:val="Body Text Indent"/>
    <w:basedOn w:val="1"/>
    <w:autoRedefine/>
    <w:unhideWhenUsed/>
    <w:qFormat/>
    <w:uiPriority w:val="0"/>
    <w:pPr>
      <w:spacing w:after="120"/>
      <w:ind w:left="420" w:leftChars="200"/>
    </w:pPr>
  </w:style>
  <w:style w:type="paragraph" w:styleId="15">
    <w:name w:val="List 2"/>
    <w:basedOn w:val="1"/>
    <w:autoRedefine/>
    <w:qFormat/>
    <w:uiPriority w:val="0"/>
    <w:pPr>
      <w:ind w:left="100" w:leftChars="200" w:hanging="200" w:hangingChars="200"/>
    </w:pPr>
  </w:style>
  <w:style w:type="paragraph" w:styleId="16">
    <w:name w:val="toc 3"/>
    <w:basedOn w:val="1"/>
    <w:next w:val="1"/>
    <w:autoRedefine/>
    <w:qFormat/>
    <w:uiPriority w:val="39"/>
    <w:pPr>
      <w:ind w:left="420"/>
      <w:jc w:val="left"/>
    </w:pPr>
    <w:rPr>
      <w:i/>
      <w:iCs/>
      <w:sz w:val="20"/>
      <w:szCs w:val="20"/>
    </w:rPr>
  </w:style>
  <w:style w:type="paragraph" w:styleId="17">
    <w:name w:val="Plain Text"/>
    <w:basedOn w:val="1"/>
    <w:autoRedefine/>
    <w:qFormat/>
    <w:uiPriority w:val="0"/>
    <w:rPr>
      <w:rFonts w:ascii="宋体" w:hAnsi="Courier New" w:cs="Courier New"/>
      <w:szCs w:val="21"/>
    </w:rPr>
  </w:style>
  <w:style w:type="paragraph" w:styleId="18">
    <w:name w:val="Date"/>
    <w:basedOn w:val="1"/>
    <w:next w:val="1"/>
    <w:autoRedefine/>
    <w:qFormat/>
    <w:uiPriority w:val="0"/>
    <w:rPr>
      <w:sz w:val="21"/>
    </w:rPr>
  </w:style>
  <w:style w:type="paragraph" w:styleId="19">
    <w:name w:val="footer"/>
    <w:basedOn w:val="1"/>
    <w:autoRedefine/>
    <w:qFormat/>
    <w:uiPriority w:val="99"/>
    <w:pPr>
      <w:tabs>
        <w:tab w:val="center" w:pos="4153"/>
        <w:tab w:val="right" w:pos="8306"/>
      </w:tabs>
      <w:snapToGrid w:val="0"/>
      <w:jc w:val="left"/>
    </w:pPr>
    <w:rPr>
      <w:sz w:val="18"/>
      <w:szCs w:val="18"/>
    </w:rPr>
  </w:style>
  <w:style w:type="paragraph" w:styleId="20">
    <w:name w:val="envelope return"/>
    <w:basedOn w:val="1"/>
    <w:autoRedefine/>
    <w:qFormat/>
    <w:uiPriority w:val="0"/>
    <w:pPr>
      <w:snapToGrid w:val="0"/>
    </w:pPr>
    <w:rPr>
      <w:rFonts w:ascii="Arial" w:hAnsi="Arial"/>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beforeLines="0" w:after="120" w:afterLines="0"/>
      <w:jc w:val="left"/>
    </w:pPr>
    <w:rPr>
      <w:b/>
      <w:bCs/>
      <w:caps/>
      <w:sz w:val="20"/>
      <w:szCs w:val="20"/>
    </w:rPr>
  </w:style>
  <w:style w:type="paragraph" w:styleId="23">
    <w:name w:val="toc 2"/>
    <w:basedOn w:val="1"/>
    <w:next w:val="1"/>
    <w:autoRedefine/>
    <w:qFormat/>
    <w:uiPriority w:val="0"/>
    <w:pPr>
      <w:ind w:left="420" w:leftChars="200"/>
    </w:pPr>
  </w:style>
  <w:style w:type="paragraph" w:styleId="24">
    <w:name w:val="Normal (Web)"/>
    <w:basedOn w:val="1"/>
    <w:next w:val="17"/>
    <w:autoRedefine/>
    <w:qFormat/>
    <w:uiPriority w:val="0"/>
    <w:pPr>
      <w:widowControl/>
      <w:spacing w:before="100" w:beforeLines="0" w:beforeAutospacing="1" w:after="100" w:afterLines="0" w:afterAutospacing="1" w:line="320" w:lineRule="atLeast"/>
      <w:jc w:val="left"/>
    </w:pPr>
    <w:rPr>
      <w:rFonts w:ascii="宋体" w:hAnsi="宋体"/>
      <w:kern w:val="0"/>
      <w:sz w:val="18"/>
      <w:szCs w:val="18"/>
    </w:rPr>
  </w:style>
  <w:style w:type="paragraph" w:styleId="25">
    <w:name w:val="Title"/>
    <w:basedOn w:val="1"/>
    <w:next w:val="1"/>
    <w:autoRedefine/>
    <w:qFormat/>
    <w:uiPriority w:val="0"/>
    <w:pPr>
      <w:widowControl w:val="0"/>
      <w:spacing w:before="240" w:after="60"/>
      <w:jc w:val="center"/>
      <w:outlineLvl w:val="0"/>
    </w:pPr>
    <w:rPr>
      <w:rFonts w:ascii="Cambria" w:hAnsi="Cambria" w:cs="Times New Roman"/>
      <w:b/>
      <w:bCs/>
      <w:kern w:val="2"/>
      <w:sz w:val="32"/>
      <w:szCs w:val="32"/>
    </w:rPr>
  </w:style>
  <w:style w:type="paragraph" w:styleId="26">
    <w:name w:val="Body Text First Indent"/>
    <w:basedOn w:val="9"/>
    <w:next w:val="27"/>
    <w:autoRedefine/>
    <w:unhideWhenUsed/>
    <w:qFormat/>
    <w:uiPriority w:val="99"/>
    <w:pPr>
      <w:spacing w:line="360" w:lineRule="auto"/>
      <w:ind w:firstLine="420" w:firstLineChars="100"/>
    </w:pPr>
    <w:rPr>
      <w:szCs w:val="21"/>
    </w:rPr>
  </w:style>
  <w:style w:type="paragraph" w:styleId="27">
    <w:name w:val="Body Text First Indent 2"/>
    <w:basedOn w:val="14"/>
    <w:next w:val="9"/>
    <w:autoRedefine/>
    <w:qFormat/>
    <w:uiPriority w:val="0"/>
    <w:pPr>
      <w:ind w:firstLine="420" w:firstLineChars="200"/>
    </w:pPr>
  </w:style>
  <w:style w:type="table" w:styleId="29">
    <w:name w:val="Table Grid"/>
    <w:basedOn w:val="28"/>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autoRedefine/>
    <w:qFormat/>
    <w:uiPriority w:val="0"/>
  </w:style>
  <w:style w:type="character" w:styleId="32">
    <w:name w:val="FollowedHyperlink"/>
    <w:basedOn w:val="30"/>
    <w:autoRedefine/>
    <w:qFormat/>
    <w:uiPriority w:val="0"/>
    <w:rPr>
      <w:color w:val="800080"/>
      <w:u w:val="none"/>
    </w:rPr>
  </w:style>
  <w:style w:type="character" w:styleId="33">
    <w:name w:val="Emphasis"/>
    <w:basedOn w:val="30"/>
    <w:autoRedefine/>
    <w:qFormat/>
    <w:uiPriority w:val="0"/>
  </w:style>
  <w:style w:type="character" w:styleId="34">
    <w:name w:val="HTML Definition"/>
    <w:basedOn w:val="30"/>
    <w:autoRedefine/>
    <w:qFormat/>
    <w:uiPriority w:val="0"/>
  </w:style>
  <w:style w:type="character" w:styleId="35">
    <w:name w:val="HTML Typewriter"/>
    <w:basedOn w:val="30"/>
    <w:autoRedefine/>
    <w:qFormat/>
    <w:uiPriority w:val="0"/>
    <w:rPr>
      <w:rFonts w:hint="default" w:ascii="monospace" w:hAnsi="monospace" w:eastAsia="monospace" w:cs="monospace"/>
      <w:sz w:val="20"/>
    </w:rPr>
  </w:style>
  <w:style w:type="character" w:styleId="36">
    <w:name w:val="HTML Acronym"/>
    <w:basedOn w:val="30"/>
    <w:autoRedefine/>
    <w:qFormat/>
    <w:uiPriority w:val="0"/>
  </w:style>
  <w:style w:type="character" w:styleId="37">
    <w:name w:val="HTML Variable"/>
    <w:basedOn w:val="30"/>
    <w:autoRedefine/>
    <w:qFormat/>
    <w:uiPriority w:val="0"/>
  </w:style>
  <w:style w:type="character" w:styleId="38">
    <w:name w:val="Hyperlink"/>
    <w:basedOn w:val="30"/>
    <w:autoRedefine/>
    <w:qFormat/>
    <w:uiPriority w:val="0"/>
    <w:rPr>
      <w:color w:val="0000FF"/>
      <w:u w:val="single"/>
    </w:rPr>
  </w:style>
  <w:style w:type="character" w:styleId="39">
    <w:name w:val="HTML Code"/>
    <w:basedOn w:val="30"/>
    <w:autoRedefine/>
    <w:qFormat/>
    <w:uiPriority w:val="0"/>
    <w:rPr>
      <w:rFonts w:hint="default" w:ascii="monospace" w:hAnsi="monospace" w:eastAsia="monospace" w:cs="monospace"/>
      <w:sz w:val="20"/>
    </w:rPr>
  </w:style>
  <w:style w:type="character" w:styleId="40">
    <w:name w:val="HTML Cite"/>
    <w:basedOn w:val="30"/>
    <w:autoRedefine/>
    <w:qFormat/>
    <w:uiPriority w:val="0"/>
  </w:style>
  <w:style w:type="character" w:styleId="41">
    <w:name w:val="HTML Keyboard"/>
    <w:basedOn w:val="30"/>
    <w:autoRedefine/>
    <w:qFormat/>
    <w:uiPriority w:val="0"/>
    <w:rPr>
      <w:rFonts w:hint="default" w:ascii="monospace" w:hAnsi="monospace" w:eastAsia="monospace" w:cs="monospace"/>
      <w:sz w:val="20"/>
    </w:rPr>
  </w:style>
  <w:style w:type="character" w:styleId="42">
    <w:name w:val="HTML Sample"/>
    <w:basedOn w:val="30"/>
    <w:autoRedefine/>
    <w:qFormat/>
    <w:uiPriority w:val="0"/>
    <w:rPr>
      <w:rFonts w:ascii="monospace" w:hAnsi="monospace" w:eastAsia="monospace" w:cs="monospace"/>
    </w:rPr>
  </w:style>
  <w:style w:type="paragraph" w:customStyle="1" w:styleId="43">
    <w:name w:val="无间隔1"/>
    <w:basedOn w:val="44"/>
    <w:next w:val="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1"/>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
    <w:name w:val="TOC Heading1"/>
    <w:next w:val="1"/>
    <w:autoRedefine/>
    <w:qFormat/>
    <w:uiPriority w:val="0"/>
    <w:pPr>
      <w:wordWrap w:val="0"/>
    </w:pPr>
    <w:rPr>
      <w:rFonts w:ascii="Calibri" w:hAnsi="Calibri" w:eastAsia="宋体" w:cs="Times New Roman"/>
      <w:sz w:val="32"/>
      <w:szCs w:val="22"/>
      <w:lang w:val="en-US" w:eastAsia="zh-CN" w:bidi="ar-SA"/>
    </w:rPr>
  </w:style>
  <w:style w:type="paragraph" w:customStyle="1" w:styleId="46">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List Paragraph"/>
    <w:basedOn w:val="1"/>
    <w:autoRedefine/>
    <w:qFormat/>
    <w:uiPriority w:val="0"/>
    <w:pPr>
      <w:widowControl/>
      <w:adjustRightInd w:val="0"/>
      <w:snapToGrid w:val="0"/>
      <w:spacing w:after="200" w:afterLines="0"/>
      <w:ind w:firstLine="420" w:firstLineChars="200"/>
      <w:jc w:val="left"/>
    </w:pPr>
    <w:rPr>
      <w:rFonts w:ascii="Tahoma" w:hAnsi="Tahoma" w:eastAsia="微软雅黑"/>
      <w:kern w:val="0"/>
      <w:sz w:val="22"/>
      <w:szCs w:val="22"/>
    </w:rPr>
  </w:style>
  <w:style w:type="paragraph" w:customStyle="1" w:styleId="48">
    <w:name w:val="Blockquote"/>
    <w:basedOn w:val="1"/>
    <w:autoRedefine/>
    <w:qFormat/>
    <w:uiPriority w:val="0"/>
    <w:pPr>
      <w:autoSpaceDE w:val="0"/>
      <w:autoSpaceDN w:val="0"/>
      <w:adjustRightInd w:val="0"/>
      <w:spacing w:before="100" w:after="100"/>
      <w:ind w:left="360" w:right="360"/>
      <w:jc w:val="left"/>
    </w:pPr>
    <w:rPr>
      <w:rFonts w:ascii="宋体"/>
      <w:kern w:val="0"/>
      <w:sz w:val="24"/>
      <w:szCs w:val="20"/>
    </w:rPr>
  </w:style>
  <w:style w:type="character" w:customStyle="1" w:styleId="49">
    <w:name w:val="标题 1 Char"/>
    <w:link w:val="2"/>
    <w:autoRedefine/>
    <w:qFormat/>
    <w:uiPriority w:val="0"/>
    <w:rPr>
      <w:b/>
      <w:bCs/>
      <w:kern w:val="44"/>
      <w:sz w:val="44"/>
      <w:szCs w:val="44"/>
    </w:rPr>
  </w:style>
  <w:style w:type="paragraph" w:customStyle="1" w:styleId="50">
    <w:name w:val="样式 标题 2 + Times New Roman 四号 非加粗 段前: 5 磅 段后: 0 磅 行距: 固定值 20..."/>
    <w:autoRedefine/>
    <w:qFormat/>
    <w:uiPriority w:val="0"/>
    <w:pPr>
      <w:keepNext/>
      <w:keepLines/>
      <w:spacing w:before="100" w:after="0" w:line="400" w:lineRule="exact"/>
      <w:outlineLvl w:val="1"/>
    </w:pPr>
    <w:rPr>
      <w:rFonts w:ascii="Times New Roman" w:hAnsi="Times New Roman" w:eastAsia="宋体" w:cs="宋体"/>
      <w:sz w:val="28"/>
      <w:szCs w:val="20"/>
      <w:lang w:val="en-US" w:eastAsia="zh-CN" w:bidi="ar-SA"/>
    </w:rPr>
  </w:style>
  <w:style w:type="paragraph" w:customStyle="1" w:styleId="51">
    <w:name w:val="表格字体-靠左"/>
    <w:basedOn w:val="52"/>
    <w:next w:val="1"/>
    <w:autoRedefine/>
    <w:qFormat/>
    <w:uiPriority w:val="0"/>
    <w:pPr>
      <w:ind w:firstLine="280" w:firstLineChars="100"/>
      <w:jc w:val="left"/>
    </w:pPr>
    <w:rPr>
      <w:rFonts w:ascii="Times New Roman" w:hAnsi="Times New Roman" w:eastAsia="宋体" w:cs="Times New Roman"/>
      <w:lang w:val="en-US" w:eastAsia="zh-CN" w:bidi="ar-SA"/>
    </w:rPr>
  </w:style>
  <w:style w:type="paragraph" w:customStyle="1" w:styleId="52">
    <w:name w:val="表格字体-居中"/>
    <w:basedOn w:val="1"/>
    <w:next w:val="1"/>
    <w:autoRedefine/>
    <w:qFormat/>
    <w:uiPriority w:val="0"/>
    <w:pPr>
      <w:jc w:val="center"/>
    </w:pPr>
  </w:style>
  <w:style w:type="paragraph" w:customStyle="1" w:styleId="53">
    <w:name w:val="无间隔2"/>
    <w:basedOn w:val="1"/>
    <w:autoRedefine/>
    <w:qFormat/>
    <w:uiPriority w:val="0"/>
    <w:pPr>
      <w:spacing w:line="400" w:lineRule="exact"/>
    </w:pPr>
    <w:rPr>
      <w:sz w:val="24"/>
    </w:rPr>
  </w:style>
  <w:style w:type="paragraph" w:customStyle="1" w:styleId="54">
    <w:name w:val="标题3-1"/>
    <w:basedOn w:val="4"/>
    <w:autoRedefine/>
    <w:qFormat/>
    <w:uiPriority w:val="0"/>
    <w:pPr>
      <w:numPr>
        <w:ilvl w:val="0"/>
        <w:numId w:val="1"/>
      </w:numPr>
      <w:tabs>
        <w:tab w:val="left" w:pos="425"/>
      </w:tabs>
      <w:spacing w:line="413" w:lineRule="auto"/>
    </w:pPr>
    <w:rPr>
      <w:rFonts w:ascii="Times New Roman" w:hAnsi="Times New Roman" w:eastAsia="宋体"/>
      <w:bCs w:val="0"/>
      <w:kern w:val="2"/>
      <w:sz w:val="24"/>
      <w:szCs w:val="20"/>
    </w:rPr>
  </w:style>
  <w:style w:type="paragraph" w:customStyle="1" w:styleId="55">
    <w:name w:val="前附表正文-三级正文"/>
    <w:next w:val="1"/>
    <w:autoRedefine/>
    <w:qFormat/>
    <w:uiPriority w:val="0"/>
    <w:pPr>
      <w:numPr>
        <w:ilvl w:val="2"/>
        <w:numId w:val="1"/>
      </w:numPr>
      <w:tabs>
        <w:tab w:val="left" w:pos="340"/>
      </w:tabs>
      <w:spacing w:line="360" w:lineRule="auto"/>
      <w:jc w:val="both"/>
    </w:pPr>
    <w:rPr>
      <w:rFonts w:ascii="Times New Roman" w:hAnsi="Times New Roman" w:eastAsia="宋体" w:cs="Times New Roman"/>
      <w:sz w:val="24"/>
      <w:lang w:val="en-US" w:eastAsia="zh-CN" w:bidi="ar-SA"/>
    </w:rPr>
  </w:style>
  <w:style w:type="table" w:customStyle="1" w:styleId="56">
    <w:name w:val="Table Normal"/>
    <w:autoRedefine/>
    <w:unhideWhenUsed/>
    <w:qFormat/>
    <w:uiPriority w:val="0"/>
    <w:tblPr>
      <w:tblCellMar>
        <w:top w:w="0" w:type="dxa"/>
        <w:left w:w="0" w:type="dxa"/>
        <w:bottom w:w="0" w:type="dxa"/>
        <w:right w:w="0" w:type="dxa"/>
      </w:tblCellMar>
    </w:tblPr>
  </w:style>
  <w:style w:type="paragraph" w:customStyle="1" w:styleId="57">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52705</Words>
  <Characters>55664</Characters>
  <Lines>0</Lines>
  <Paragraphs>0</Paragraphs>
  <TotalTime>36</TotalTime>
  <ScaleCrop>false</ScaleCrop>
  <LinksUpToDate>false</LinksUpToDate>
  <CharactersWithSpaces>62681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平云霞</cp:lastModifiedBy>
  <cp:lastPrinted>2024-04-11T10:12:00Z</cp:lastPrinted>
  <dcterms:modified xsi:type="dcterms:W3CDTF">2024-04-12T07:15:16Z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C988312ADAA84B708425DF9547F522E9_13</vt:lpwstr>
  </property>
</Properties>
</file>