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570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945"/>
        <w:gridCol w:w="6320"/>
        <w:gridCol w:w="3296"/>
        <w:gridCol w:w="839"/>
        <w:gridCol w:w="210"/>
        <w:gridCol w:w="629"/>
        <w:gridCol w:w="839"/>
        <w:gridCol w:w="83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00" w:type="dxa"/>
            <w:gridSpan w:val="10"/>
            <w:tcBorders>
              <w:top w:val="nil"/>
              <w:left w:val="nil"/>
              <w:right w:val="nil"/>
            </w:tcBorders>
            <w:shd w:val="clear" w:color="auto" w:fill="auto"/>
            <w:noWrap/>
            <w:vAlign w:val="center"/>
          </w:tcPr>
          <w:p>
            <w:pPr>
              <w:widowControl/>
              <w:spacing w:line="240" w:lineRule="atLeast"/>
              <w:ind w:left="16" w:leftChars="0" w:right="-275" w:rightChars="-131" w:hanging="16" w:hangingChars="6"/>
              <w:jc w:val="left"/>
              <w:rPr>
                <w:rFonts w:hint="default" w:ascii="黑体" w:hAnsi="黑体" w:eastAsia="黑体" w:cs="黑体"/>
                <w:b w:val="0"/>
                <w:bCs w:val="0"/>
                <w:kern w:val="0"/>
                <w:sz w:val="28"/>
                <w:szCs w:val="28"/>
                <w:highlight w:val="none"/>
                <w:lang w:val="en-US" w:eastAsia="zh-CN"/>
              </w:rPr>
            </w:pPr>
            <w:r>
              <w:rPr>
                <w:rFonts w:hint="eastAsia" w:ascii="黑体" w:hAnsi="黑体" w:eastAsia="黑体" w:cs="黑体"/>
                <w:b w:val="0"/>
                <w:bCs w:val="0"/>
                <w:kern w:val="0"/>
                <w:sz w:val="28"/>
                <w:szCs w:val="28"/>
                <w:highlight w:val="none"/>
                <w:lang w:val="en-US" w:eastAsia="zh-CN"/>
              </w:rPr>
              <w:t>附件：1</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00" w:type="dxa"/>
            <w:gridSpan w:val="10"/>
            <w:shd w:val="clear" w:color="auto" w:fill="auto"/>
            <w:noWrap/>
            <w:vAlign w:val="center"/>
          </w:tcPr>
          <w:p>
            <w:pPr>
              <w:widowControl/>
              <w:spacing w:line="240" w:lineRule="atLeast"/>
              <w:ind w:left="16" w:leftChars="0" w:right="-275" w:rightChars="-131" w:hanging="16" w:hangingChars="6"/>
              <w:jc w:val="center"/>
              <w:rPr>
                <w:rFonts w:hint="eastAsia" w:ascii="仿宋_GB2312" w:hAnsi="仿宋_GB2312" w:eastAsia="仿宋_GB2312" w:cs="仿宋_GB2312"/>
                <w:b/>
                <w:bCs/>
                <w:kern w:val="0"/>
                <w:sz w:val="21"/>
                <w:szCs w:val="21"/>
              </w:rPr>
            </w:pPr>
            <w:r>
              <w:rPr>
                <w:rFonts w:hint="eastAsia" w:ascii="黑体" w:hAnsi="黑体" w:eastAsia="黑体" w:cs="黑体"/>
                <w:b w:val="0"/>
                <w:bCs w:val="0"/>
                <w:kern w:val="0"/>
                <w:sz w:val="28"/>
                <w:szCs w:val="28"/>
                <w:highlight w:val="none"/>
                <w:lang w:val="en-US" w:eastAsia="zh-Hans"/>
              </w:rPr>
              <w:t>评标专家</w:t>
            </w:r>
            <w:r>
              <w:rPr>
                <w:rFonts w:hint="eastAsia" w:ascii="黑体" w:hAnsi="黑体" w:eastAsia="黑体" w:cs="黑体"/>
                <w:b w:val="0"/>
                <w:bCs w:val="0"/>
                <w:kern w:val="0"/>
                <w:sz w:val="28"/>
                <w:szCs w:val="28"/>
                <w:highlight w:val="none"/>
              </w:rPr>
              <w:t>考核表（行政监督部门）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700" w:type="dxa"/>
            <w:gridSpan w:val="10"/>
            <w:shd w:val="clear" w:color="auto" w:fill="auto"/>
            <w:noWrap w:val="0"/>
            <w:vAlign w:val="center"/>
          </w:tcPr>
          <w:p>
            <w:pPr>
              <w:widowControl/>
              <w:ind w:left="12" w:leftChars="0" w:right="-275" w:rightChars="-131" w:hanging="12" w:hangingChars="6"/>
              <w:jc w:val="both"/>
              <w:rPr>
                <w:rFonts w:hint="default" w:ascii="黑体" w:hAnsi="黑体" w:eastAsia="黑体" w:cs="黑体"/>
                <w:b w:val="0"/>
                <w:bCs w:val="0"/>
                <w:kern w:val="0"/>
                <w:sz w:val="21"/>
                <w:szCs w:val="21"/>
                <w:lang w:val="en-US" w:eastAsia="zh-Hans"/>
              </w:rPr>
            </w:pPr>
            <w:r>
              <w:rPr>
                <w:rFonts w:hint="eastAsia" w:ascii="黑体" w:hAnsi="黑体" w:eastAsia="黑体" w:cs="黑体"/>
                <w:b w:val="0"/>
                <w:bCs w:val="0"/>
                <w:kern w:val="0"/>
                <w:sz w:val="21"/>
                <w:szCs w:val="21"/>
                <w:lang w:val="en-US" w:eastAsia="zh-Hans"/>
              </w:rPr>
              <w:t>项目名称</w:t>
            </w:r>
            <w:r>
              <w:rPr>
                <w:rFonts w:hint="eastAsia" w:ascii="黑体" w:hAnsi="黑体" w:eastAsia="黑体" w:cs="黑体"/>
                <w:b w:val="0"/>
                <w:bCs w:val="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550" w:type="dxa"/>
            <w:gridSpan w:val="6"/>
            <w:shd w:val="clear" w:color="auto" w:fill="auto"/>
            <w:noWrap w:val="0"/>
            <w:vAlign w:val="center"/>
          </w:tcPr>
          <w:p>
            <w:pPr>
              <w:widowControl/>
              <w:ind w:left="12" w:leftChars="0" w:right="-275" w:rightChars="-131" w:hanging="12" w:hangingChars="6"/>
              <w:jc w:val="both"/>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Hans"/>
              </w:rPr>
              <w:t>考核单位</w:t>
            </w:r>
            <w:r>
              <w:rPr>
                <w:rFonts w:hint="eastAsia" w:ascii="黑体" w:hAnsi="黑体" w:eastAsia="黑体" w:cs="黑体"/>
                <w:b w:val="0"/>
                <w:bCs w:val="0"/>
                <w:kern w:val="0"/>
                <w:sz w:val="21"/>
                <w:szCs w:val="21"/>
                <w:lang w:eastAsia="zh-Hans"/>
              </w:rPr>
              <w:t>：</w:t>
            </w:r>
          </w:p>
        </w:tc>
        <w:tc>
          <w:tcPr>
            <w:tcW w:w="3150" w:type="dxa"/>
            <w:gridSpan w:val="4"/>
            <w:shd w:val="clear" w:color="auto" w:fill="auto"/>
            <w:noWrap w:val="0"/>
            <w:vAlign w:val="center"/>
          </w:tcPr>
          <w:p>
            <w:pPr>
              <w:widowControl/>
              <w:ind w:left="12" w:leftChars="0" w:right="-275" w:rightChars="-131" w:hanging="12" w:hangingChars="6"/>
              <w:jc w:val="both"/>
              <w:rPr>
                <w:rFonts w:hint="eastAsia" w:ascii="黑体" w:hAnsi="黑体" w:eastAsia="黑体" w:cs="黑体"/>
                <w:b w:val="0"/>
                <w:bCs w:val="0"/>
                <w:kern w:val="0"/>
                <w:sz w:val="21"/>
                <w:szCs w:val="21"/>
                <w:lang w:eastAsia="zh-CN"/>
              </w:rPr>
            </w:pPr>
            <w:r>
              <w:rPr>
                <w:rFonts w:hint="eastAsia" w:ascii="黑体" w:hAnsi="黑体" w:eastAsia="黑体" w:cs="黑体"/>
                <w:b w:val="0"/>
                <w:bCs w:val="0"/>
                <w:kern w:val="0"/>
                <w:sz w:val="21"/>
                <w:szCs w:val="21"/>
                <w:lang w:val="en-US" w:eastAsia="zh-Hans"/>
              </w:rPr>
              <w:t>考核时间</w:t>
            </w:r>
            <w:r>
              <w:rPr>
                <w:rFonts w:hint="eastAsia" w:ascii="黑体" w:hAnsi="黑体" w:eastAsia="黑体" w:cs="黑体"/>
                <w:b w:val="0"/>
                <w:bCs w:val="0"/>
                <w:kern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550" w:type="dxa"/>
            <w:gridSpan w:val="6"/>
            <w:shd w:val="clear" w:color="auto" w:fill="auto"/>
            <w:noWrap w:val="0"/>
            <w:vAlign w:val="center"/>
          </w:tcPr>
          <w:p>
            <w:pPr>
              <w:widowControl/>
              <w:ind w:left="12" w:leftChars="0" w:right="-275" w:rightChars="-131" w:hanging="12" w:hangingChars="6"/>
              <w:jc w:val="both"/>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被考核专家</w:t>
            </w:r>
            <w:r>
              <w:rPr>
                <w:rFonts w:hint="eastAsia" w:ascii="黑体" w:hAnsi="黑体" w:eastAsia="黑体" w:cs="黑体"/>
                <w:b w:val="0"/>
                <w:bCs w:val="0"/>
                <w:kern w:val="0"/>
                <w:sz w:val="21"/>
                <w:szCs w:val="21"/>
                <w:lang w:eastAsia="zh-Hans"/>
              </w:rPr>
              <w:t>：</w:t>
            </w:r>
          </w:p>
        </w:tc>
        <w:tc>
          <w:tcPr>
            <w:tcW w:w="3150" w:type="dxa"/>
            <w:gridSpan w:val="4"/>
            <w:shd w:val="clear" w:color="auto" w:fill="auto"/>
            <w:noWrap w:val="0"/>
            <w:vAlign w:val="center"/>
          </w:tcPr>
          <w:p>
            <w:pPr>
              <w:widowControl/>
              <w:ind w:left="12" w:leftChars="0" w:right="-275" w:rightChars="-131" w:hanging="12" w:hangingChars="6"/>
              <w:jc w:val="both"/>
              <w:rPr>
                <w:rFonts w:hint="eastAsia" w:ascii="黑体" w:hAnsi="黑体" w:eastAsia="黑体" w:cs="黑体"/>
                <w:b w:val="0"/>
                <w:bCs w:val="0"/>
                <w:kern w:val="0"/>
                <w:sz w:val="21"/>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940" w:type="dxa"/>
            <w:vMerge w:val="restart"/>
            <w:shd w:val="clear" w:color="auto" w:fill="auto"/>
            <w:noWrap w:val="0"/>
            <w:vAlign w:val="center"/>
          </w:tcPr>
          <w:p>
            <w:pPr>
              <w:widowControl/>
              <w:ind w:left="12" w:leftChars="0" w:right="-275" w:rightChars="-131" w:hanging="12" w:hangingChars="6"/>
              <w:jc w:val="both"/>
              <w:rPr>
                <w:rFonts w:hint="eastAsia" w:ascii="黑体" w:hAnsi="黑体" w:eastAsia="黑体" w:cs="黑体"/>
                <w:b w:val="0"/>
                <w:bCs w:val="0"/>
                <w:kern w:val="0"/>
                <w:sz w:val="21"/>
                <w:szCs w:val="21"/>
                <w:lang w:val="en-US" w:eastAsia="zh-Hans"/>
              </w:rPr>
            </w:pPr>
            <w:r>
              <w:rPr>
                <w:rFonts w:hint="eastAsia" w:ascii="黑体" w:hAnsi="黑体" w:eastAsia="黑体" w:cs="黑体"/>
                <w:b w:val="0"/>
                <w:bCs w:val="0"/>
                <w:kern w:val="0"/>
                <w:sz w:val="21"/>
                <w:szCs w:val="21"/>
                <w:lang w:val="en-US" w:eastAsia="zh-Hans"/>
              </w:rPr>
              <w:t>一级指标</w:t>
            </w:r>
          </w:p>
        </w:tc>
        <w:tc>
          <w:tcPr>
            <w:tcW w:w="945" w:type="dxa"/>
            <w:vMerge w:val="restart"/>
            <w:shd w:val="clear" w:color="auto" w:fill="auto"/>
            <w:noWrap w:val="0"/>
            <w:vAlign w:val="center"/>
          </w:tcPr>
          <w:p>
            <w:pPr>
              <w:widowControl/>
              <w:ind w:left="12" w:leftChars="0" w:right="-275" w:rightChars="-131" w:hanging="12" w:hangingChars="6"/>
              <w:jc w:val="both"/>
              <w:rPr>
                <w:rFonts w:hint="eastAsia" w:ascii="黑体" w:hAnsi="黑体" w:eastAsia="黑体" w:cs="黑体"/>
                <w:b w:val="0"/>
                <w:bCs w:val="0"/>
                <w:kern w:val="0"/>
                <w:sz w:val="21"/>
                <w:szCs w:val="21"/>
                <w:lang w:val="en-US" w:eastAsia="zh-Hans"/>
              </w:rPr>
            </w:pPr>
            <w:r>
              <w:rPr>
                <w:rFonts w:hint="eastAsia" w:ascii="黑体" w:hAnsi="黑体" w:eastAsia="黑体" w:cs="黑体"/>
                <w:b w:val="0"/>
                <w:bCs w:val="0"/>
                <w:kern w:val="0"/>
                <w:sz w:val="21"/>
                <w:szCs w:val="21"/>
                <w:lang w:val="en-US" w:eastAsia="zh-Hans"/>
              </w:rPr>
              <w:t>二级指标</w:t>
            </w:r>
          </w:p>
        </w:tc>
        <w:tc>
          <w:tcPr>
            <w:tcW w:w="6320" w:type="dxa"/>
            <w:vMerge w:val="restart"/>
            <w:shd w:val="clear" w:color="auto" w:fill="auto"/>
            <w:noWrap w:val="0"/>
            <w:vAlign w:val="center"/>
          </w:tcPr>
          <w:p>
            <w:pPr>
              <w:widowControl/>
              <w:ind w:left="12" w:leftChars="0" w:right="-275" w:rightChars="-131" w:hanging="12" w:hangingChars="6"/>
              <w:jc w:val="center"/>
              <w:rPr>
                <w:rFonts w:hint="eastAsia" w:ascii="黑体" w:hAnsi="黑体" w:eastAsia="黑体" w:cs="黑体"/>
                <w:b w:val="0"/>
                <w:bCs w:val="0"/>
                <w:kern w:val="0"/>
                <w:sz w:val="21"/>
                <w:szCs w:val="21"/>
                <w:lang w:val="en-US" w:eastAsia="zh-Hans"/>
              </w:rPr>
            </w:pPr>
            <w:r>
              <w:rPr>
                <w:rFonts w:hint="eastAsia" w:ascii="黑体" w:hAnsi="黑体" w:eastAsia="黑体" w:cs="黑体"/>
                <w:b w:val="0"/>
                <w:bCs w:val="0"/>
                <w:kern w:val="0"/>
                <w:sz w:val="21"/>
                <w:szCs w:val="21"/>
                <w:lang w:val="en-US" w:eastAsia="zh-Hans"/>
              </w:rPr>
              <w:t>三级指标</w:t>
            </w:r>
          </w:p>
        </w:tc>
        <w:tc>
          <w:tcPr>
            <w:tcW w:w="3296" w:type="dxa"/>
            <w:vMerge w:val="restart"/>
            <w:shd w:val="clear" w:color="auto" w:fill="auto"/>
            <w:noWrap w:val="0"/>
            <w:vAlign w:val="center"/>
          </w:tcPr>
          <w:p>
            <w:pPr>
              <w:widowControl/>
              <w:ind w:left="12" w:leftChars="0" w:right="-275" w:rightChars="-131" w:hanging="12" w:hangingChars="6"/>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lang w:val="en-US" w:eastAsia="zh-Hans"/>
              </w:rPr>
              <w:t>考核规则</w:t>
            </w:r>
          </w:p>
        </w:tc>
        <w:tc>
          <w:tcPr>
            <w:tcW w:w="4199" w:type="dxa"/>
            <w:gridSpan w:val="6"/>
            <w:shd w:val="clear" w:color="auto" w:fill="auto"/>
            <w:noWrap w:val="0"/>
            <w:vAlign w:val="center"/>
          </w:tcPr>
          <w:p>
            <w:pPr>
              <w:widowControl/>
              <w:ind w:right="-275" w:rightChars="-131"/>
              <w:jc w:val="center"/>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专家姓名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940" w:type="dxa"/>
            <w:vMerge w:val="continue"/>
            <w:shd w:val="clear" w:color="auto" w:fill="auto"/>
            <w:noWrap w:val="0"/>
            <w:vAlign w:val="center"/>
          </w:tcPr>
          <w:p>
            <w:pPr>
              <w:widowControl/>
              <w:ind w:right="-275" w:rightChars="-131"/>
              <w:jc w:val="center"/>
            </w:pPr>
          </w:p>
        </w:tc>
        <w:tc>
          <w:tcPr>
            <w:tcW w:w="945" w:type="dxa"/>
            <w:vMerge w:val="continue"/>
            <w:shd w:val="clear" w:color="auto" w:fill="auto"/>
            <w:noWrap w:val="0"/>
            <w:vAlign w:val="center"/>
          </w:tcPr>
          <w:p>
            <w:pPr>
              <w:widowControl/>
              <w:ind w:right="-275" w:rightChars="-131"/>
              <w:jc w:val="center"/>
            </w:pPr>
          </w:p>
        </w:tc>
        <w:tc>
          <w:tcPr>
            <w:tcW w:w="6320" w:type="dxa"/>
            <w:vMerge w:val="continue"/>
            <w:shd w:val="clear" w:color="auto" w:fill="auto"/>
            <w:noWrap w:val="0"/>
            <w:vAlign w:val="center"/>
          </w:tcPr>
          <w:p>
            <w:pPr>
              <w:widowControl/>
              <w:ind w:right="-275" w:rightChars="-131"/>
              <w:jc w:val="center"/>
            </w:pPr>
          </w:p>
        </w:tc>
        <w:tc>
          <w:tcPr>
            <w:tcW w:w="3296" w:type="dxa"/>
            <w:vMerge w:val="continue"/>
            <w:shd w:val="clear" w:color="auto" w:fill="auto"/>
            <w:noWrap w:val="0"/>
            <w:vAlign w:val="center"/>
          </w:tcPr>
          <w:p>
            <w:pPr>
              <w:widowControl/>
              <w:ind w:right="-275" w:rightChars="-131"/>
              <w:jc w:val="center"/>
            </w:pPr>
          </w:p>
        </w:tc>
        <w:tc>
          <w:tcPr>
            <w:tcW w:w="839" w:type="dxa"/>
            <w:shd w:val="clear" w:color="auto" w:fill="auto"/>
            <w:noWrap w:val="0"/>
            <w:vAlign w:val="center"/>
          </w:tcPr>
          <w:p>
            <w:pPr>
              <w:widowControl/>
              <w:ind w:right="-275" w:rightChars="-131"/>
              <w:jc w:val="center"/>
            </w:pPr>
          </w:p>
        </w:tc>
        <w:tc>
          <w:tcPr>
            <w:tcW w:w="839" w:type="dxa"/>
            <w:gridSpan w:val="2"/>
            <w:shd w:val="clear" w:color="auto" w:fill="auto"/>
            <w:noWrap w:val="0"/>
            <w:vAlign w:val="center"/>
          </w:tcPr>
          <w:p>
            <w:pPr>
              <w:widowControl/>
              <w:ind w:right="-275" w:rightChars="-131"/>
              <w:jc w:val="center"/>
            </w:pPr>
          </w:p>
        </w:tc>
        <w:tc>
          <w:tcPr>
            <w:tcW w:w="839" w:type="dxa"/>
            <w:shd w:val="clear" w:color="auto" w:fill="auto"/>
            <w:noWrap w:val="0"/>
            <w:vAlign w:val="center"/>
          </w:tcPr>
          <w:p>
            <w:pPr>
              <w:widowControl/>
              <w:ind w:right="-275" w:rightChars="-131"/>
              <w:jc w:val="center"/>
            </w:pPr>
          </w:p>
        </w:tc>
        <w:tc>
          <w:tcPr>
            <w:tcW w:w="839" w:type="dxa"/>
            <w:shd w:val="clear" w:color="auto" w:fill="auto"/>
            <w:noWrap w:val="0"/>
            <w:vAlign w:val="center"/>
          </w:tcPr>
          <w:p>
            <w:pPr>
              <w:widowControl/>
              <w:ind w:right="-275" w:rightChars="-131"/>
              <w:jc w:val="center"/>
            </w:pPr>
          </w:p>
        </w:tc>
        <w:tc>
          <w:tcPr>
            <w:tcW w:w="843" w:type="dxa"/>
            <w:shd w:val="clear" w:color="auto" w:fill="auto"/>
            <w:noWrap w:val="0"/>
            <w:vAlign w:val="center"/>
          </w:tcPr>
          <w:p>
            <w:pPr>
              <w:widowControl/>
              <w:ind w:right="-275" w:rightChars="-13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restart"/>
            <w:shd w:val="clear" w:color="auto" w:fill="auto"/>
            <w:noWrap w:val="0"/>
            <w:vAlign w:val="center"/>
          </w:tcPr>
          <w:p>
            <w:pPr>
              <w:widowControl/>
              <w:tabs>
                <w:tab w:val="left" w:pos="420"/>
              </w:tabs>
              <w:ind w:left="13" w:leftChars="0" w:right="-275" w:rightChars="-131" w:hanging="13" w:hangingChars="6"/>
              <w:jc w:val="both"/>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评标履职</w:t>
            </w:r>
          </w:p>
        </w:tc>
        <w:tc>
          <w:tcPr>
            <w:tcW w:w="945" w:type="dxa"/>
            <w:vMerge w:val="restart"/>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lang w:val="en-US" w:eastAsia="zh-Hans"/>
              </w:rPr>
            </w:pPr>
            <w:r>
              <w:rPr>
                <w:rFonts w:hint="eastAsia" w:ascii="仿宋_GB2312" w:hAnsi="仿宋_GB2312" w:eastAsia="仿宋_GB2312" w:cs="仿宋_GB2312"/>
                <w:b/>
                <w:bCs/>
                <w:kern w:val="0"/>
                <w:sz w:val="21"/>
                <w:szCs w:val="21"/>
                <w:lang w:val="en-US" w:eastAsia="zh-Hans"/>
              </w:rPr>
              <w:t>评标质量</w:t>
            </w:r>
          </w:p>
        </w:tc>
        <w:tc>
          <w:tcPr>
            <w:tcW w:w="6320"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不按照招标文件规定的</w:t>
            </w:r>
            <w:r>
              <w:rPr>
                <w:rFonts w:hint="eastAsia" w:ascii="仿宋_GB2312" w:hAnsi="仿宋_GB2312" w:eastAsia="仿宋_GB2312" w:cs="仿宋_GB2312"/>
                <w:b w:val="0"/>
                <w:bCs w:val="0"/>
                <w:color w:val="auto"/>
                <w:kern w:val="0"/>
                <w:sz w:val="21"/>
                <w:szCs w:val="21"/>
                <w:highlight w:val="none"/>
                <w:u w:val="none"/>
                <w:lang w:eastAsia="zh-CN"/>
              </w:rPr>
              <w:t>评标程序、</w:t>
            </w:r>
            <w:r>
              <w:rPr>
                <w:rFonts w:hint="eastAsia" w:ascii="仿宋_GB2312" w:hAnsi="仿宋_GB2312" w:eastAsia="仿宋_GB2312" w:cs="仿宋_GB2312"/>
                <w:b w:val="0"/>
                <w:bCs w:val="0"/>
                <w:color w:val="auto"/>
                <w:kern w:val="0"/>
                <w:sz w:val="21"/>
                <w:szCs w:val="21"/>
                <w:highlight w:val="none"/>
                <w:u w:val="none"/>
              </w:rPr>
              <w:t>评标标准和</w:t>
            </w:r>
            <w:r>
              <w:rPr>
                <w:rFonts w:hint="eastAsia" w:ascii="仿宋_GB2312" w:hAnsi="仿宋_GB2312" w:eastAsia="仿宋_GB2312" w:cs="仿宋_GB2312"/>
                <w:b w:val="0"/>
                <w:bCs w:val="0"/>
                <w:color w:val="auto"/>
                <w:kern w:val="0"/>
                <w:sz w:val="21"/>
                <w:szCs w:val="21"/>
                <w:highlight w:val="none"/>
                <w:u w:val="none"/>
                <w:lang w:eastAsia="zh-CN"/>
              </w:rPr>
              <w:t>评标</w:t>
            </w:r>
            <w:r>
              <w:rPr>
                <w:rFonts w:hint="eastAsia" w:ascii="仿宋_GB2312" w:hAnsi="仿宋_GB2312" w:eastAsia="仿宋_GB2312" w:cs="仿宋_GB2312"/>
                <w:b w:val="0"/>
                <w:bCs w:val="0"/>
                <w:color w:val="auto"/>
                <w:kern w:val="0"/>
                <w:sz w:val="21"/>
                <w:szCs w:val="21"/>
                <w:highlight w:val="none"/>
                <w:u w:val="none"/>
              </w:rPr>
              <w:t>方法评标的</w:t>
            </w:r>
          </w:p>
        </w:tc>
        <w:tc>
          <w:tcPr>
            <w:tcW w:w="3296"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扣10分/次</w:t>
            </w:r>
          </w:p>
        </w:tc>
        <w:tc>
          <w:tcPr>
            <w:tcW w:w="839" w:type="dxa"/>
            <w:shd w:val="clear" w:color="auto" w:fill="auto"/>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shd w:val="clear" w:color="auto" w:fill="auto"/>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shd w:val="clear" w:color="auto" w:fill="auto"/>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shd w:val="clear" w:color="auto" w:fill="auto"/>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shd w:val="clear" w:color="auto" w:fill="auto"/>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0"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945"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6320"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向招标人征询确定中标人的意向，</w:t>
            </w:r>
            <w:r>
              <w:rPr>
                <w:rFonts w:hint="eastAsia" w:ascii="仿宋_GB2312" w:hAnsi="仿宋_GB2312" w:eastAsia="仿宋_GB2312" w:cs="仿宋_GB2312"/>
                <w:b w:val="0"/>
                <w:bCs w:val="0"/>
                <w:color w:val="auto"/>
                <w:kern w:val="0"/>
                <w:sz w:val="21"/>
                <w:szCs w:val="21"/>
                <w:highlight w:val="none"/>
                <w:u w:val="none"/>
                <w:lang w:eastAsia="zh-CN"/>
              </w:rPr>
              <w:t>或者</w:t>
            </w:r>
            <w:r>
              <w:rPr>
                <w:rFonts w:hint="eastAsia" w:ascii="仿宋_GB2312" w:hAnsi="仿宋_GB2312" w:eastAsia="仿宋_GB2312" w:cs="仿宋_GB2312"/>
                <w:b w:val="0"/>
                <w:bCs w:val="0"/>
                <w:color w:val="auto"/>
                <w:kern w:val="0"/>
                <w:sz w:val="21"/>
                <w:szCs w:val="21"/>
                <w:highlight w:val="none"/>
                <w:u w:val="none"/>
              </w:rPr>
              <w:t>接受任何单位或者个人明示或者暗示提出的倾向或者排斥特定投标人的要求的</w:t>
            </w:r>
          </w:p>
        </w:tc>
        <w:tc>
          <w:tcPr>
            <w:tcW w:w="3296"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扣10分/次</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945"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6320"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对评标委员会其他成员的独立评审施加不当影响的</w:t>
            </w:r>
          </w:p>
        </w:tc>
        <w:tc>
          <w:tcPr>
            <w:tcW w:w="3296"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lang w:val="en-US" w:eastAsia="zh-CN"/>
              </w:rPr>
              <w:t>凭借评标委员会负责人身份</w:t>
            </w:r>
            <w:r>
              <w:rPr>
                <w:rFonts w:hint="eastAsia" w:ascii="仿宋_GB2312" w:hAnsi="仿宋_GB2312" w:eastAsia="仿宋_GB2312" w:cs="仿宋_GB2312"/>
                <w:b w:val="0"/>
                <w:bCs w:val="0"/>
                <w:color w:val="auto"/>
                <w:kern w:val="0"/>
                <w:sz w:val="21"/>
                <w:szCs w:val="21"/>
                <w:highlight w:val="none"/>
                <w:u w:val="none"/>
                <w:lang w:eastAsia="zh-CN"/>
              </w:rPr>
              <w:t>施加不当影响的扣</w:t>
            </w:r>
            <w:r>
              <w:rPr>
                <w:rFonts w:hint="eastAsia" w:ascii="仿宋_GB2312" w:hAnsi="仿宋_GB2312" w:eastAsia="仿宋_GB2312" w:cs="仿宋_GB2312"/>
                <w:b w:val="0"/>
                <w:bCs w:val="0"/>
                <w:color w:val="auto"/>
                <w:kern w:val="0"/>
                <w:sz w:val="21"/>
                <w:szCs w:val="21"/>
                <w:highlight w:val="none"/>
                <w:u w:val="none"/>
                <w:lang w:val="en-US" w:eastAsia="zh-CN"/>
              </w:rPr>
              <w:t>15分/次，其他成员施加不当影响的</w:t>
            </w:r>
            <w:r>
              <w:rPr>
                <w:rFonts w:hint="eastAsia" w:ascii="仿宋_GB2312" w:hAnsi="仿宋_GB2312" w:eastAsia="仿宋_GB2312" w:cs="仿宋_GB2312"/>
                <w:b w:val="0"/>
                <w:bCs w:val="0"/>
                <w:color w:val="auto"/>
                <w:kern w:val="0"/>
                <w:sz w:val="21"/>
                <w:szCs w:val="21"/>
                <w:highlight w:val="none"/>
                <w:u w:val="none"/>
              </w:rPr>
              <w:t>扣10分/次</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940"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945"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6320"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暗示或者诱导投标人作出澄清、说明或者接受投标人主动提出的澄清、说明的</w:t>
            </w:r>
          </w:p>
        </w:tc>
        <w:tc>
          <w:tcPr>
            <w:tcW w:w="3296"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扣10分/次</w:t>
            </w:r>
            <w:r>
              <w:rPr>
                <w:rFonts w:hint="eastAsia" w:ascii="仿宋_GB2312" w:hAnsi="仿宋_GB2312" w:eastAsia="仿宋_GB2312" w:cs="仿宋_GB2312"/>
                <w:b w:val="0"/>
                <w:bCs w:val="0"/>
                <w:color w:val="auto"/>
                <w:kern w:val="0"/>
                <w:sz w:val="21"/>
                <w:szCs w:val="21"/>
                <w:highlight w:val="none"/>
                <w:u w:val="none"/>
                <w:lang w:eastAsia="zh-CN"/>
              </w:rPr>
              <w:t>（</w:t>
            </w:r>
            <w:r>
              <w:rPr>
                <w:rFonts w:hint="eastAsia" w:ascii="仿宋_GB2312" w:hAnsi="仿宋_GB2312" w:eastAsia="仿宋_GB2312" w:cs="仿宋_GB2312"/>
                <w:b w:val="0"/>
                <w:bCs w:val="0"/>
                <w:color w:val="auto"/>
                <w:spacing w:val="0"/>
                <w:kern w:val="0"/>
                <w:sz w:val="21"/>
                <w:szCs w:val="21"/>
                <w:highlight w:val="none"/>
                <w:u w:val="none"/>
                <w:lang w:eastAsia="zh-CN"/>
              </w:rPr>
              <w:t>评标委员会以书面方式要求投标人对投标文件中含义不明确、</w:t>
            </w:r>
            <w:r>
              <w:rPr>
                <w:rFonts w:hint="eastAsia" w:ascii="仿宋_GB2312" w:hAnsi="仿宋_GB2312" w:eastAsia="仿宋_GB2312" w:cs="仿宋_GB2312"/>
                <w:b w:val="0"/>
                <w:bCs w:val="0"/>
                <w:color w:val="auto"/>
                <w:spacing w:val="0"/>
                <w:kern w:val="0"/>
                <w:sz w:val="21"/>
                <w:szCs w:val="21"/>
                <w:highlight w:val="none"/>
                <w:u w:val="none"/>
                <w:lang w:val="en-US" w:eastAsia="zh-CN"/>
              </w:rPr>
              <w:t>对同类问题表述不一致或者有明显文字和计算错误的内容</w:t>
            </w:r>
            <w:r>
              <w:rPr>
                <w:rFonts w:hint="eastAsia" w:ascii="仿宋_GB2312" w:hAnsi="仿宋_GB2312" w:eastAsia="仿宋_GB2312" w:cs="仿宋_GB2312"/>
                <w:b w:val="0"/>
                <w:bCs w:val="0"/>
                <w:color w:val="auto"/>
                <w:spacing w:val="0"/>
                <w:kern w:val="0"/>
                <w:sz w:val="21"/>
                <w:szCs w:val="21"/>
                <w:highlight w:val="none"/>
                <w:u w:val="none"/>
                <w:lang w:eastAsia="zh-CN"/>
              </w:rPr>
              <w:t>作必要的澄清、说明或者补正的，不扣分。</w:t>
            </w:r>
            <w:r>
              <w:rPr>
                <w:rFonts w:hint="eastAsia" w:ascii="仿宋_GB2312" w:hAnsi="仿宋_GB2312" w:eastAsia="仿宋_GB2312" w:cs="仿宋_GB2312"/>
                <w:b w:val="0"/>
                <w:bCs w:val="0"/>
                <w:color w:val="auto"/>
                <w:kern w:val="0"/>
                <w:sz w:val="21"/>
                <w:szCs w:val="21"/>
                <w:highlight w:val="none"/>
                <w:u w:val="none"/>
                <w:lang w:eastAsia="zh-CN"/>
              </w:rPr>
              <w:t>）</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0"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945"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6320"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投标文件存在细微偏差，应当通过澄清、说明进行补正而未要求，直接作否决投标处理的</w:t>
            </w:r>
          </w:p>
        </w:tc>
        <w:tc>
          <w:tcPr>
            <w:tcW w:w="3296"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扣10分/次</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0"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945"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6320"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投标人的报价明显低于其他投标报价或者在设有标底时明显低于标底，使得其投标报价可能低于其个别成本，应当要求该投标人作出书面说明并提供相关证明材料而未要求的</w:t>
            </w:r>
          </w:p>
        </w:tc>
        <w:tc>
          <w:tcPr>
            <w:tcW w:w="3296"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扣10分/次</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0"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945"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6320"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客观分评审错误的</w:t>
            </w:r>
          </w:p>
        </w:tc>
        <w:tc>
          <w:tcPr>
            <w:tcW w:w="3296" w:type="dxa"/>
            <w:shd w:val="clear" w:color="auto" w:fill="auto"/>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扣10分/次</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0"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945"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6320"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lang w:eastAsia="zh-CN"/>
              </w:rPr>
              <w:t>评分汇总错误的</w:t>
            </w:r>
          </w:p>
        </w:tc>
        <w:tc>
          <w:tcPr>
            <w:tcW w:w="3296" w:type="dxa"/>
            <w:shd w:val="clear" w:color="auto" w:fill="auto"/>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扣10分/次</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0"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945"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6320"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随</w:t>
            </w:r>
            <w:r>
              <w:rPr>
                <w:rFonts w:hint="eastAsia" w:ascii="仿宋_GB2312" w:hAnsi="仿宋_GB2312" w:eastAsia="仿宋_GB2312" w:cs="仿宋_GB2312"/>
                <w:b w:val="0"/>
                <w:bCs w:val="0"/>
                <w:color w:val="auto"/>
                <w:spacing w:val="0"/>
                <w:kern w:val="0"/>
                <w:sz w:val="21"/>
                <w:szCs w:val="21"/>
                <w:highlight w:val="none"/>
                <w:u w:val="none"/>
              </w:rPr>
              <w:t>意行使自由裁量权，评分畸高、畸低的</w:t>
            </w:r>
          </w:p>
        </w:tc>
        <w:tc>
          <w:tcPr>
            <w:tcW w:w="3296"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扣10分/次</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0"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945"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6320"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依法应当提出否决意见但未提出的</w:t>
            </w:r>
          </w:p>
        </w:tc>
        <w:tc>
          <w:tcPr>
            <w:tcW w:w="3296"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扣10分/次</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0" w:type="dxa"/>
            <w:vMerge w:val="continue"/>
            <w:shd w:val="clear" w:color="auto" w:fill="auto"/>
            <w:noWrap w:val="0"/>
            <w:vAlign w:val="center"/>
          </w:tcPr>
          <w:p>
            <w:pPr>
              <w:widowControl/>
              <w:ind w:left="12" w:leftChars="0" w:right="-275" w:rightChars="-131" w:hanging="12" w:hangingChars="6"/>
              <w:jc w:val="both"/>
              <w:rPr>
                <w:rFonts w:hint="eastAsia" w:ascii="仿宋_GB2312" w:hAnsi="仿宋_GB2312" w:eastAsia="仿宋_GB2312" w:cs="仿宋_GB2312"/>
                <w:sz w:val="21"/>
                <w:szCs w:val="21"/>
              </w:rPr>
            </w:pPr>
          </w:p>
        </w:tc>
        <w:tc>
          <w:tcPr>
            <w:tcW w:w="945" w:type="dxa"/>
            <w:vMerge w:val="continue"/>
            <w:shd w:val="clear" w:color="auto" w:fill="auto"/>
            <w:noWrap w:val="0"/>
            <w:vAlign w:val="center"/>
          </w:tcPr>
          <w:p>
            <w:pPr>
              <w:widowControl/>
              <w:ind w:left="12" w:leftChars="0" w:right="-275" w:rightChars="-131" w:hanging="12" w:hangingChars="6"/>
              <w:jc w:val="both"/>
              <w:rPr>
                <w:rFonts w:hint="eastAsia" w:ascii="仿宋_GB2312" w:hAnsi="仿宋_GB2312" w:eastAsia="仿宋_GB2312" w:cs="仿宋_GB2312"/>
                <w:sz w:val="21"/>
                <w:szCs w:val="21"/>
              </w:rPr>
            </w:pPr>
          </w:p>
        </w:tc>
        <w:tc>
          <w:tcPr>
            <w:tcW w:w="6320"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lang w:val="en-US" w:eastAsia="zh-CN"/>
              </w:rPr>
              <w:t>借鉴或抄袭评标委员会其他成员的打分结果的</w:t>
            </w:r>
          </w:p>
        </w:tc>
        <w:tc>
          <w:tcPr>
            <w:tcW w:w="3296"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扣10分/次</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0" w:type="dxa"/>
            <w:vMerge w:val="continue"/>
            <w:shd w:val="clear" w:color="auto" w:fill="auto"/>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945" w:type="dxa"/>
            <w:vMerge w:val="continue"/>
            <w:shd w:val="clear" w:color="auto" w:fill="auto"/>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6320"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敷衍塞责随意评标的</w:t>
            </w:r>
          </w:p>
        </w:tc>
        <w:tc>
          <w:tcPr>
            <w:tcW w:w="3296"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扣6分/次</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0" w:type="dxa"/>
            <w:vMerge w:val="continue"/>
            <w:shd w:val="clear" w:color="auto" w:fill="auto"/>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945" w:type="dxa"/>
            <w:vMerge w:val="continue"/>
            <w:shd w:val="clear" w:color="auto" w:fill="auto"/>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6320"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非因外部原因评标效率异常低下或</w:t>
            </w:r>
            <w:r>
              <w:rPr>
                <w:rFonts w:hint="eastAsia" w:ascii="仿宋_GB2312" w:hAnsi="仿宋_GB2312" w:eastAsia="仿宋_GB2312" w:cs="仿宋_GB2312"/>
                <w:b w:val="0"/>
                <w:bCs w:val="0"/>
                <w:color w:val="auto"/>
                <w:kern w:val="0"/>
                <w:sz w:val="21"/>
                <w:szCs w:val="21"/>
                <w:highlight w:val="none"/>
                <w:u w:val="none"/>
                <w:lang w:eastAsia="zh-CN"/>
              </w:rPr>
              <w:t>者</w:t>
            </w:r>
            <w:r>
              <w:rPr>
                <w:rFonts w:hint="eastAsia" w:ascii="仿宋_GB2312" w:hAnsi="仿宋_GB2312" w:eastAsia="仿宋_GB2312" w:cs="仿宋_GB2312"/>
                <w:b w:val="0"/>
                <w:bCs w:val="0"/>
                <w:color w:val="auto"/>
                <w:kern w:val="0"/>
                <w:sz w:val="21"/>
                <w:szCs w:val="21"/>
                <w:highlight w:val="none"/>
                <w:u w:val="none"/>
              </w:rPr>
              <w:t>故意拖延评标时间的</w:t>
            </w:r>
          </w:p>
        </w:tc>
        <w:tc>
          <w:tcPr>
            <w:tcW w:w="3296"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扣5分/次</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0" w:type="dxa"/>
            <w:vMerge w:val="continue"/>
            <w:shd w:val="clear" w:color="auto" w:fill="auto"/>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945" w:type="dxa"/>
            <w:vMerge w:val="continue"/>
            <w:shd w:val="clear" w:color="auto" w:fill="auto"/>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6320"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评标错误导致投诉成立的或者后续检查复核中发现评标错误的</w:t>
            </w:r>
          </w:p>
        </w:tc>
        <w:tc>
          <w:tcPr>
            <w:tcW w:w="3296"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扣1</w:t>
            </w:r>
            <w:r>
              <w:rPr>
                <w:rFonts w:hint="default" w:ascii="仿宋_GB2312" w:hAnsi="仿宋_GB2312" w:eastAsia="仿宋_GB2312" w:cs="仿宋_GB2312"/>
                <w:b w:val="0"/>
                <w:bCs w:val="0"/>
                <w:color w:val="auto"/>
                <w:kern w:val="0"/>
                <w:sz w:val="21"/>
                <w:szCs w:val="21"/>
                <w:highlight w:val="none"/>
                <w:u w:val="none"/>
              </w:rPr>
              <w:t>5</w:t>
            </w:r>
            <w:r>
              <w:rPr>
                <w:rFonts w:hint="eastAsia" w:ascii="仿宋_GB2312" w:hAnsi="仿宋_GB2312" w:eastAsia="仿宋_GB2312" w:cs="仿宋_GB2312"/>
                <w:b w:val="0"/>
                <w:bCs w:val="0"/>
                <w:color w:val="auto"/>
                <w:kern w:val="0"/>
                <w:sz w:val="21"/>
                <w:szCs w:val="21"/>
                <w:highlight w:val="none"/>
                <w:u w:val="none"/>
              </w:rPr>
              <w:t>分/次</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0"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945" w:type="dxa"/>
            <w:vMerge w:val="restart"/>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lang w:val="en-US" w:eastAsia="zh-Hans"/>
              </w:rPr>
            </w:pPr>
            <w:r>
              <w:rPr>
                <w:rFonts w:hint="eastAsia" w:ascii="仿宋_GB2312" w:hAnsi="仿宋_GB2312" w:eastAsia="仿宋_GB2312" w:cs="仿宋_GB2312"/>
                <w:b/>
                <w:bCs/>
                <w:kern w:val="0"/>
                <w:sz w:val="21"/>
                <w:szCs w:val="21"/>
                <w:lang w:val="en-US" w:eastAsia="zh-Hans"/>
              </w:rPr>
              <w:t>职业道德</w:t>
            </w:r>
          </w:p>
        </w:tc>
        <w:tc>
          <w:tcPr>
            <w:tcW w:w="6320"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组建或者加入可能影响公正评标的微信群、QQ群等网络通讯群组</w:t>
            </w:r>
          </w:p>
        </w:tc>
        <w:tc>
          <w:tcPr>
            <w:tcW w:w="3296" w:type="dxa"/>
            <w:shd w:val="clear" w:color="auto" w:fill="auto"/>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组建的，扣15分；</w:t>
            </w:r>
          </w:p>
          <w:p>
            <w:pPr>
              <w:widowControl/>
              <w:ind w:left="12" w:leftChars="0" w:right="-275" w:rightChars="-131" w:hanging="12" w:hangingChars="6"/>
              <w:jc w:val="both"/>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加入的，扣10分</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0"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945"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6320"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接到评标通知后，以明示、暗示等方式主动散播或者通过中间人散播信息寻求被围猎的</w:t>
            </w:r>
          </w:p>
        </w:tc>
        <w:tc>
          <w:tcPr>
            <w:tcW w:w="3296" w:type="dxa"/>
            <w:shd w:val="clear" w:color="auto" w:fill="auto"/>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从省综合评标专家库中清退</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0"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945"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6320"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应当回避而不主动回避的</w:t>
            </w:r>
          </w:p>
        </w:tc>
        <w:tc>
          <w:tcPr>
            <w:tcW w:w="3296"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扣</w:t>
            </w:r>
            <w:r>
              <w:rPr>
                <w:rFonts w:hint="eastAsia" w:ascii="仿宋_GB2312" w:hAnsi="仿宋_GB2312" w:eastAsia="仿宋_GB2312" w:cs="仿宋_GB2312"/>
                <w:b w:val="0"/>
                <w:bCs w:val="0"/>
                <w:color w:val="auto"/>
                <w:kern w:val="0"/>
                <w:sz w:val="21"/>
                <w:szCs w:val="21"/>
                <w:highlight w:val="none"/>
                <w:u w:val="none"/>
                <w:lang w:val="en-US" w:eastAsia="zh-CN"/>
              </w:rPr>
              <w:t>10</w:t>
            </w:r>
            <w:r>
              <w:rPr>
                <w:rFonts w:hint="eastAsia" w:ascii="仿宋_GB2312" w:hAnsi="仿宋_GB2312" w:eastAsia="仿宋_GB2312" w:cs="仿宋_GB2312"/>
                <w:b w:val="0"/>
                <w:bCs w:val="0"/>
                <w:color w:val="auto"/>
                <w:kern w:val="0"/>
                <w:sz w:val="21"/>
                <w:szCs w:val="21"/>
                <w:highlight w:val="none"/>
                <w:u w:val="none"/>
              </w:rPr>
              <w:t>分/次</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940"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945"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6320"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b w:val="0"/>
                <w:bCs w:val="0"/>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泄露参与评标活动有关信息或者透露评标应当保密的信息的</w:t>
            </w:r>
          </w:p>
        </w:tc>
        <w:tc>
          <w:tcPr>
            <w:tcW w:w="3296"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left"/>
              <w:rPr>
                <w:rFonts w:hint="eastAsia" w:ascii="仿宋_GB2312" w:hAnsi="仿宋_GB2312" w:eastAsia="仿宋_GB2312" w:cs="仿宋_GB2312"/>
                <w:b w:val="0"/>
                <w:bCs w:val="0"/>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扣15分/次</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0"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945"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6320"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rPr>
              <w:t>私下接触投标人或者接受投标人、中介人、其他利害关系人的财物或者其他好处</w:t>
            </w:r>
          </w:p>
        </w:tc>
        <w:tc>
          <w:tcPr>
            <w:tcW w:w="3296"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color w:val="auto"/>
                <w:kern w:val="0"/>
                <w:sz w:val="21"/>
                <w:szCs w:val="21"/>
                <w:highlight w:val="none"/>
                <w:u w:val="none"/>
                <w:lang w:eastAsia="zh-CN"/>
              </w:rPr>
              <w:t>从省综合评标专家库中清退</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0"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945" w:type="dxa"/>
            <w:vMerge w:val="continue"/>
            <w:shd w:val="clear" w:color="auto" w:fill="auto"/>
            <w:noWrap w:val="0"/>
            <w:vAlign w:val="center"/>
          </w:tcPr>
          <w:p>
            <w:pPr>
              <w:widowControl/>
              <w:ind w:left="13" w:leftChars="0" w:right="-275" w:rightChars="-131" w:hanging="13" w:hangingChars="6"/>
              <w:jc w:val="both"/>
              <w:rPr>
                <w:rFonts w:hint="eastAsia" w:ascii="仿宋_GB2312" w:hAnsi="仿宋_GB2312" w:eastAsia="仿宋_GB2312" w:cs="仿宋_GB2312"/>
                <w:b/>
                <w:bCs/>
                <w:kern w:val="0"/>
                <w:sz w:val="21"/>
                <w:szCs w:val="21"/>
              </w:rPr>
            </w:pPr>
          </w:p>
        </w:tc>
        <w:tc>
          <w:tcPr>
            <w:tcW w:w="6320"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both"/>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不配合或者阻挠</w:t>
            </w:r>
            <w:r>
              <w:rPr>
                <w:rFonts w:hint="eastAsia" w:ascii="仿宋_GB2312" w:hAnsi="仿宋_GB2312" w:eastAsia="仿宋_GB2312" w:cs="仿宋_GB2312"/>
                <w:b w:val="0"/>
                <w:bCs w:val="0"/>
                <w:color w:val="auto"/>
                <w:kern w:val="0"/>
                <w:sz w:val="21"/>
                <w:szCs w:val="21"/>
                <w:highlight w:val="none"/>
                <w:u w:val="none"/>
                <w:lang w:val="en-US" w:eastAsia="zh-CN"/>
              </w:rPr>
              <w:t>行政监督部门</w:t>
            </w:r>
            <w:r>
              <w:rPr>
                <w:rFonts w:hint="eastAsia" w:ascii="仿宋_GB2312" w:hAnsi="仿宋_GB2312" w:eastAsia="仿宋_GB2312" w:cs="仿宋_GB2312"/>
                <w:b w:val="0"/>
                <w:bCs w:val="0"/>
                <w:color w:val="auto"/>
                <w:kern w:val="0"/>
                <w:sz w:val="21"/>
                <w:szCs w:val="21"/>
                <w:highlight w:val="none"/>
                <w:u w:val="none"/>
              </w:rPr>
              <w:t>监督和执法调查，或者在接受调查过程中不如实陈述、提供虚假材料的</w:t>
            </w:r>
          </w:p>
        </w:tc>
        <w:tc>
          <w:tcPr>
            <w:tcW w:w="3296" w:type="dxa"/>
            <w:shd w:val="clear" w:color="auto" w:fill="auto"/>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00" w:lineRule="exact"/>
              <w:jc w:val="left"/>
              <w:rPr>
                <w:rFonts w:hint="eastAsia" w:ascii="仿宋_GB2312" w:hAnsi="仿宋_GB2312" w:eastAsia="仿宋_GB2312" w:cs="仿宋_GB2312"/>
                <w:b w:val="0"/>
                <w:bCs w:val="0"/>
                <w:color w:val="auto"/>
                <w:kern w:val="0"/>
                <w:sz w:val="21"/>
                <w:szCs w:val="21"/>
                <w:highlight w:val="none"/>
                <w:u w:val="none"/>
                <w:lang w:eastAsia="zh-CN"/>
              </w:rPr>
            </w:pPr>
            <w:r>
              <w:rPr>
                <w:rFonts w:hint="eastAsia" w:ascii="仿宋_GB2312" w:hAnsi="仿宋_GB2312" w:eastAsia="仿宋_GB2312" w:cs="仿宋_GB2312"/>
                <w:b w:val="0"/>
                <w:bCs w:val="0"/>
                <w:color w:val="auto"/>
                <w:kern w:val="0"/>
                <w:sz w:val="21"/>
                <w:szCs w:val="21"/>
                <w:highlight w:val="none"/>
                <w:u w:val="none"/>
              </w:rPr>
              <w:t>扣10分/次</w:t>
            </w: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gridSpan w:val="2"/>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39"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c>
          <w:tcPr>
            <w:tcW w:w="843" w:type="dxa"/>
            <w:noWrap w:val="0"/>
            <w:vAlign w:val="center"/>
          </w:tcPr>
          <w:p>
            <w:pPr>
              <w:widowControl/>
              <w:ind w:left="12" w:leftChars="0" w:right="-275" w:rightChars="-131" w:hanging="12" w:hangingChars="6"/>
              <w:jc w:val="both"/>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85" w:type="dxa"/>
            <w:gridSpan w:val="2"/>
            <w:shd w:val="clear" w:color="auto" w:fill="auto"/>
            <w:noWrap w:val="0"/>
            <w:vAlign w:val="center"/>
          </w:tcPr>
          <w:p>
            <w:pPr>
              <w:widowControl/>
              <w:ind w:left="13" w:leftChars="0" w:right="-275" w:rightChars="-131" w:hanging="13" w:hangingChars="6"/>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b/>
                <w:bCs/>
                <w:kern w:val="0"/>
                <w:sz w:val="21"/>
                <w:szCs w:val="21"/>
                <w:lang w:val="en-US" w:eastAsia="zh-Hans"/>
              </w:rPr>
              <w:t>打分原因</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lang w:val="en-US" w:eastAsia="zh-Hans"/>
              </w:rPr>
              <w:t>扣分</w:t>
            </w:r>
            <w:r>
              <w:rPr>
                <w:rFonts w:hint="eastAsia" w:ascii="仿宋_GB2312" w:hAnsi="仿宋_GB2312" w:eastAsia="仿宋_GB2312" w:cs="仿宋_GB2312"/>
                <w:kern w:val="0"/>
                <w:sz w:val="21"/>
                <w:szCs w:val="21"/>
                <w:lang w:val="en-US" w:eastAsia="zh-CN"/>
              </w:rPr>
              <w:t>请</w:t>
            </w:r>
          </w:p>
          <w:p>
            <w:pPr>
              <w:widowControl/>
              <w:ind w:left="12" w:leftChars="0" w:right="-275" w:rightChars="-131" w:hanging="12" w:hangingChars="6"/>
              <w:jc w:val="left"/>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CN"/>
              </w:rPr>
              <w:t>填写</w:t>
            </w:r>
            <w:r>
              <w:rPr>
                <w:rFonts w:hint="eastAsia" w:ascii="仿宋_GB2312" w:hAnsi="仿宋_GB2312" w:eastAsia="仿宋_GB2312" w:cs="仿宋_GB2312"/>
                <w:kern w:val="0"/>
                <w:sz w:val="21"/>
                <w:szCs w:val="21"/>
                <w:lang w:eastAsia="zh-CN"/>
              </w:rPr>
              <w:t>）</w:t>
            </w:r>
          </w:p>
        </w:tc>
        <w:tc>
          <w:tcPr>
            <w:tcW w:w="13815" w:type="dxa"/>
            <w:gridSpan w:val="8"/>
            <w:shd w:val="clear" w:color="auto" w:fill="auto"/>
            <w:noWrap w:val="0"/>
            <w:vAlign w:val="center"/>
          </w:tcPr>
          <w:p>
            <w:pPr>
              <w:widowControl/>
              <w:ind w:left="12" w:leftChars="0" w:right="-275" w:rightChars="-131" w:hanging="12" w:hangingChars="6"/>
              <w:jc w:val="center"/>
              <w:rPr>
                <w:rFonts w:hint="eastAsia" w:ascii="仿宋_GB2312" w:hAnsi="仿宋_GB2312" w:eastAsia="仿宋_GB2312" w:cs="仿宋_GB2312"/>
                <w:kern w:val="0"/>
                <w:sz w:val="21"/>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700" w:type="dxa"/>
            <w:gridSpan w:val="10"/>
            <w:shd w:val="clear" w:color="auto" w:fill="auto"/>
            <w:noWrap w:val="0"/>
            <w:vAlign w:val="center"/>
          </w:tcPr>
          <w:p>
            <w:pPr>
              <w:widowControl/>
              <w:ind w:left="12" w:leftChars="0" w:right="-275" w:rightChars="-131" w:hanging="12" w:hangingChars="6"/>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Hans"/>
              </w:rPr>
              <w:t>注</w:t>
            </w:r>
            <w:r>
              <w:rPr>
                <w:rFonts w:hint="eastAsia" w:ascii="仿宋_GB2312" w:hAnsi="仿宋_GB2312" w:eastAsia="仿宋_GB2312" w:cs="仿宋_GB2312"/>
                <w:kern w:val="0"/>
                <w:sz w:val="21"/>
                <w:szCs w:val="21"/>
                <w:lang w:eastAsia="zh-Hans"/>
              </w:rPr>
              <w:t>：</w:t>
            </w:r>
            <w:r>
              <w:rPr>
                <w:rFonts w:hint="eastAsia" w:ascii="仿宋_GB2312" w:hAnsi="仿宋_GB2312" w:eastAsia="仿宋_GB2312" w:cs="仿宋_GB2312"/>
                <w:kern w:val="0"/>
                <w:sz w:val="21"/>
                <w:szCs w:val="21"/>
                <w:lang w:val="en-US" w:eastAsia="zh-Hans"/>
              </w:rPr>
              <w:t>勾选扣分项进行扣分</w:t>
            </w:r>
            <w:r>
              <w:rPr>
                <w:rFonts w:hint="eastAsia" w:ascii="仿宋_GB2312" w:hAnsi="仿宋_GB2312" w:eastAsia="仿宋_GB2312" w:cs="仿宋_GB2312"/>
                <w:kern w:val="0"/>
                <w:sz w:val="21"/>
                <w:szCs w:val="21"/>
                <w:lang w:eastAsia="zh-Hans"/>
              </w:rPr>
              <w:t>，</w:t>
            </w:r>
            <w:r>
              <w:rPr>
                <w:rFonts w:hint="eastAsia" w:ascii="仿宋_GB2312" w:hAnsi="仿宋_GB2312" w:eastAsia="仿宋_GB2312" w:cs="仿宋_GB2312"/>
                <w:kern w:val="0"/>
                <w:sz w:val="21"/>
                <w:szCs w:val="21"/>
                <w:lang w:val="en-US" w:eastAsia="zh-Hans"/>
              </w:rPr>
              <w:t>或根据考核规则填写</w:t>
            </w:r>
            <w:r>
              <w:rPr>
                <w:rFonts w:hint="eastAsia" w:ascii="仿宋_GB2312" w:hAnsi="仿宋_GB2312" w:eastAsia="仿宋_GB2312" w:cs="仿宋_GB2312"/>
                <w:kern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885" w:type="dxa"/>
            <w:gridSpan w:val="2"/>
            <w:shd w:val="clear" w:color="auto" w:fill="auto"/>
            <w:noWrap w:val="0"/>
            <w:vAlign w:val="center"/>
          </w:tcPr>
          <w:p>
            <w:pPr>
              <w:widowControl/>
              <w:ind w:left="13" w:leftChars="0" w:right="-275" w:rightChars="-131" w:hanging="13" w:hangingChars="6"/>
              <w:jc w:val="left"/>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b/>
                <w:bCs/>
                <w:kern w:val="0"/>
                <w:sz w:val="21"/>
                <w:szCs w:val="21"/>
                <w:lang w:val="en-US" w:eastAsia="zh-Hans"/>
              </w:rPr>
              <w:t>考核人签字</w:t>
            </w:r>
          </w:p>
        </w:tc>
        <w:tc>
          <w:tcPr>
            <w:tcW w:w="13815" w:type="dxa"/>
            <w:gridSpan w:val="8"/>
            <w:shd w:val="clear" w:color="auto" w:fill="auto"/>
            <w:noWrap w:val="0"/>
            <w:vAlign w:val="bottom"/>
          </w:tcPr>
          <w:p>
            <w:pPr>
              <w:widowControl/>
              <w:ind w:left="12" w:leftChars="0" w:right="-275" w:rightChars="-131" w:hanging="12" w:hangingChars="6"/>
              <w:jc w:val="center"/>
              <w:rPr>
                <w:rFonts w:hint="eastAsia" w:ascii="仿宋_GB2312" w:hAnsi="仿宋_GB2312" w:eastAsia="仿宋_GB2312" w:cs="仿宋_GB2312"/>
                <w:b/>
                <w:bCs/>
                <w:kern w:val="0"/>
                <w:sz w:val="21"/>
                <w:szCs w:val="21"/>
                <w:lang w:val="en-US" w:eastAsia="zh-Hans"/>
              </w:rPr>
            </w:pPr>
            <w:r>
              <w:rPr>
                <w:rFonts w:hint="default" w:ascii="仿宋_GB2312" w:hAnsi="仿宋_GB2312" w:eastAsia="仿宋_GB2312" w:cs="仿宋_GB2312"/>
                <w:b w:val="0"/>
                <w:bCs w:val="0"/>
                <w:kern w:val="0"/>
                <w:sz w:val="21"/>
                <w:szCs w:val="21"/>
                <w:lang w:eastAsia="zh-Hans"/>
              </w:rPr>
              <w:t xml:space="preserve">                                                                                                          </w:t>
            </w:r>
            <w:r>
              <w:rPr>
                <w:rFonts w:hint="eastAsia" w:ascii="仿宋_GB2312" w:hAnsi="仿宋_GB2312" w:eastAsia="仿宋_GB2312" w:cs="仿宋_GB2312"/>
                <w:b/>
                <w:bCs/>
                <w:kern w:val="0"/>
                <w:sz w:val="21"/>
                <w:szCs w:val="21"/>
                <w:lang w:val="en-US" w:eastAsia="zh-Hans"/>
              </w:rPr>
              <w:t>年        月        日</w:t>
            </w:r>
          </w:p>
        </w:tc>
      </w:tr>
    </w:tbl>
    <w:p/>
    <w:sectPr>
      <w:pgSz w:w="16838" w:h="11906" w:orient="landscape"/>
      <w:pgMar w:top="1134" w:right="623" w:bottom="1134" w:left="1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EsImhkaWQiOiJlMjdmMzY2YThkMDRhMGNlNTE0OWVkNTU5MzgxZDg0YyIsInVzZXJDb3VudCI6MX0="/>
  </w:docVars>
  <w:rsids>
    <w:rsidRoot w:val="7FD7452E"/>
    <w:rsid w:val="00000891"/>
    <w:rsid w:val="0000459C"/>
    <w:rsid w:val="000056AF"/>
    <w:rsid w:val="0001501E"/>
    <w:rsid w:val="00022472"/>
    <w:rsid w:val="00056615"/>
    <w:rsid w:val="0005703D"/>
    <w:rsid w:val="000607C6"/>
    <w:rsid w:val="00064A75"/>
    <w:rsid w:val="0006553B"/>
    <w:rsid w:val="000726A1"/>
    <w:rsid w:val="000800FB"/>
    <w:rsid w:val="00086A13"/>
    <w:rsid w:val="0009506D"/>
    <w:rsid w:val="000A38ED"/>
    <w:rsid w:val="000A64A2"/>
    <w:rsid w:val="000B2210"/>
    <w:rsid w:val="000B3012"/>
    <w:rsid w:val="000C6E75"/>
    <w:rsid w:val="000E1028"/>
    <w:rsid w:val="001044C9"/>
    <w:rsid w:val="00105A70"/>
    <w:rsid w:val="00113044"/>
    <w:rsid w:val="00135CE5"/>
    <w:rsid w:val="0014709B"/>
    <w:rsid w:val="00151CF9"/>
    <w:rsid w:val="00153A1E"/>
    <w:rsid w:val="00154DC6"/>
    <w:rsid w:val="00160D16"/>
    <w:rsid w:val="00171888"/>
    <w:rsid w:val="00192A51"/>
    <w:rsid w:val="001A67B3"/>
    <w:rsid w:val="001B0443"/>
    <w:rsid w:val="001B21F8"/>
    <w:rsid w:val="001C051E"/>
    <w:rsid w:val="001D6A70"/>
    <w:rsid w:val="001E6D3A"/>
    <w:rsid w:val="001F6676"/>
    <w:rsid w:val="00202FED"/>
    <w:rsid w:val="00212E38"/>
    <w:rsid w:val="00232040"/>
    <w:rsid w:val="00232D30"/>
    <w:rsid w:val="00260EC3"/>
    <w:rsid w:val="00267390"/>
    <w:rsid w:val="00274496"/>
    <w:rsid w:val="00283C42"/>
    <w:rsid w:val="00297B9C"/>
    <w:rsid w:val="002A5FAF"/>
    <w:rsid w:val="002B15C5"/>
    <w:rsid w:val="002D773D"/>
    <w:rsid w:val="002E0BF5"/>
    <w:rsid w:val="002E5695"/>
    <w:rsid w:val="002F5A36"/>
    <w:rsid w:val="002F7899"/>
    <w:rsid w:val="00302E10"/>
    <w:rsid w:val="00303CBF"/>
    <w:rsid w:val="00323370"/>
    <w:rsid w:val="00333F51"/>
    <w:rsid w:val="00343B4F"/>
    <w:rsid w:val="0034620E"/>
    <w:rsid w:val="003745CC"/>
    <w:rsid w:val="00382506"/>
    <w:rsid w:val="0038453D"/>
    <w:rsid w:val="003D209B"/>
    <w:rsid w:val="003E38A0"/>
    <w:rsid w:val="003E7490"/>
    <w:rsid w:val="003F20BD"/>
    <w:rsid w:val="004171DB"/>
    <w:rsid w:val="004230D0"/>
    <w:rsid w:val="00432A49"/>
    <w:rsid w:val="00452E18"/>
    <w:rsid w:val="00464022"/>
    <w:rsid w:val="00466AD8"/>
    <w:rsid w:val="0048046D"/>
    <w:rsid w:val="00490F8A"/>
    <w:rsid w:val="004925CC"/>
    <w:rsid w:val="004A24D6"/>
    <w:rsid w:val="004A5E35"/>
    <w:rsid w:val="004B29BD"/>
    <w:rsid w:val="004C0632"/>
    <w:rsid w:val="004C15C0"/>
    <w:rsid w:val="005327E2"/>
    <w:rsid w:val="005546E3"/>
    <w:rsid w:val="00561097"/>
    <w:rsid w:val="00571E02"/>
    <w:rsid w:val="00574533"/>
    <w:rsid w:val="00574C92"/>
    <w:rsid w:val="00587985"/>
    <w:rsid w:val="00595A07"/>
    <w:rsid w:val="00596E8B"/>
    <w:rsid w:val="005A31C5"/>
    <w:rsid w:val="005A4D31"/>
    <w:rsid w:val="005A708A"/>
    <w:rsid w:val="005C57F5"/>
    <w:rsid w:val="005E41D2"/>
    <w:rsid w:val="005F08C9"/>
    <w:rsid w:val="005F2817"/>
    <w:rsid w:val="005F57F3"/>
    <w:rsid w:val="00617E64"/>
    <w:rsid w:val="00625AA9"/>
    <w:rsid w:val="006343FA"/>
    <w:rsid w:val="006723DF"/>
    <w:rsid w:val="0069113A"/>
    <w:rsid w:val="006936EE"/>
    <w:rsid w:val="006A0A9A"/>
    <w:rsid w:val="006A2CC7"/>
    <w:rsid w:val="006D3833"/>
    <w:rsid w:val="006E1F85"/>
    <w:rsid w:val="006E1FA5"/>
    <w:rsid w:val="006E4A87"/>
    <w:rsid w:val="006F51DE"/>
    <w:rsid w:val="00703E94"/>
    <w:rsid w:val="00712591"/>
    <w:rsid w:val="007135EF"/>
    <w:rsid w:val="00722087"/>
    <w:rsid w:val="007355C6"/>
    <w:rsid w:val="00735A8B"/>
    <w:rsid w:val="00735C43"/>
    <w:rsid w:val="00743458"/>
    <w:rsid w:val="00745584"/>
    <w:rsid w:val="00776FFB"/>
    <w:rsid w:val="007817C6"/>
    <w:rsid w:val="00785B88"/>
    <w:rsid w:val="00790B8A"/>
    <w:rsid w:val="007961EF"/>
    <w:rsid w:val="007A0983"/>
    <w:rsid w:val="007B0842"/>
    <w:rsid w:val="007B09A8"/>
    <w:rsid w:val="007D42E8"/>
    <w:rsid w:val="007E0FAA"/>
    <w:rsid w:val="007E3681"/>
    <w:rsid w:val="007E3753"/>
    <w:rsid w:val="007E6A46"/>
    <w:rsid w:val="007F4826"/>
    <w:rsid w:val="00811209"/>
    <w:rsid w:val="00816C46"/>
    <w:rsid w:val="00817C14"/>
    <w:rsid w:val="00825B35"/>
    <w:rsid w:val="00827394"/>
    <w:rsid w:val="00827FA5"/>
    <w:rsid w:val="00830E28"/>
    <w:rsid w:val="00835AD3"/>
    <w:rsid w:val="008422B6"/>
    <w:rsid w:val="00842D11"/>
    <w:rsid w:val="00867753"/>
    <w:rsid w:val="00875F24"/>
    <w:rsid w:val="008A4EFA"/>
    <w:rsid w:val="008B53D2"/>
    <w:rsid w:val="008E1410"/>
    <w:rsid w:val="00924F78"/>
    <w:rsid w:val="00930CD3"/>
    <w:rsid w:val="00934EEE"/>
    <w:rsid w:val="00940B9F"/>
    <w:rsid w:val="00952299"/>
    <w:rsid w:val="00967EC3"/>
    <w:rsid w:val="0097104D"/>
    <w:rsid w:val="00984501"/>
    <w:rsid w:val="00984D10"/>
    <w:rsid w:val="00994C81"/>
    <w:rsid w:val="009A5940"/>
    <w:rsid w:val="009A65F7"/>
    <w:rsid w:val="009A71BB"/>
    <w:rsid w:val="009B1557"/>
    <w:rsid w:val="009E281C"/>
    <w:rsid w:val="009F5BF2"/>
    <w:rsid w:val="00A12346"/>
    <w:rsid w:val="00A26B23"/>
    <w:rsid w:val="00A3180F"/>
    <w:rsid w:val="00A32282"/>
    <w:rsid w:val="00A36BA5"/>
    <w:rsid w:val="00A42C3A"/>
    <w:rsid w:val="00A441F9"/>
    <w:rsid w:val="00A52618"/>
    <w:rsid w:val="00A63DBD"/>
    <w:rsid w:val="00A76C69"/>
    <w:rsid w:val="00A82DF5"/>
    <w:rsid w:val="00A9574E"/>
    <w:rsid w:val="00AA6096"/>
    <w:rsid w:val="00AE50EF"/>
    <w:rsid w:val="00AE7D8D"/>
    <w:rsid w:val="00B05198"/>
    <w:rsid w:val="00B11BDD"/>
    <w:rsid w:val="00B140BD"/>
    <w:rsid w:val="00B152A3"/>
    <w:rsid w:val="00B15480"/>
    <w:rsid w:val="00B22B4F"/>
    <w:rsid w:val="00B23C26"/>
    <w:rsid w:val="00B25834"/>
    <w:rsid w:val="00B25BF1"/>
    <w:rsid w:val="00B27ED0"/>
    <w:rsid w:val="00B459E5"/>
    <w:rsid w:val="00B45F05"/>
    <w:rsid w:val="00B63A2D"/>
    <w:rsid w:val="00B73078"/>
    <w:rsid w:val="00BA54C8"/>
    <w:rsid w:val="00BB614E"/>
    <w:rsid w:val="00BC06EE"/>
    <w:rsid w:val="00BC181F"/>
    <w:rsid w:val="00BD41F9"/>
    <w:rsid w:val="00BD5119"/>
    <w:rsid w:val="00C02BAB"/>
    <w:rsid w:val="00C149BA"/>
    <w:rsid w:val="00C232F0"/>
    <w:rsid w:val="00C31C9D"/>
    <w:rsid w:val="00C35CC7"/>
    <w:rsid w:val="00C42BF2"/>
    <w:rsid w:val="00C503CF"/>
    <w:rsid w:val="00C6008A"/>
    <w:rsid w:val="00C65D62"/>
    <w:rsid w:val="00C7093B"/>
    <w:rsid w:val="00C70D93"/>
    <w:rsid w:val="00C9361B"/>
    <w:rsid w:val="00CA105C"/>
    <w:rsid w:val="00CA6363"/>
    <w:rsid w:val="00CA6519"/>
    <w:rsid w:val="00CC0BBF"/>
    <w:rsid w:val="00CE44F0"/>
    <w:rsid w:val="00CF75CF"/>
    <w:rsid w:val="00D00C0F"/>
    <w:rsid w:val="00D2110B"/>
    <w:rsid w:val="00D25319"/>
    <w:rsid w:val="00D34AF0"/>
    <w:rsid w:val="00D35F2C"/>
    <w:rsid w:val="00D5397E"/>
    <w:rsid w:val="00D60C00"/>
    <w:rsid w:val="00D61228"/>
    <w:rsid w:val="00D761EB"/>
    <w:rsid w:val="00D92E6C"/>
    <w:rsid w:val="00D94FF5"/>
    <w:rsid w:val="00D971DC"/>
    <w:rsid w:val="00DC1133"/>
    <w:rsid w:val="00DC15F3"/>
    <w:rsid w:val="00DC6FA3"/>
    <w:rsid w:val="00DD41BE"/>
    <w:rsid w:val="00DE1C88"/>
    <w:rsid w:val="00E01C89"/>
    <w:rsid w:val="00E07DC5"/>
    <w:rsid w:val="00E133E7"/>
    <w:rsid w:val="00E140B9"/>
    <w:rsid w:val="00E263E8"/>
    <w:rsid w:val="00E2770F"/>
    <w:rsid w:val="00E31FBE"/>
    <w:rsid w:val="00E37641"/>
    <w:rsid w:val="00E474D7"/>
    <w:rsid w:val="00E47E52"/>
    <w:rsid w:val="00EA473A"/>
    <w:rsid w:val="00EA60F7"/>
    <w:rsid w:val="00EB3815"/>
    <w:rsid w:val="00EB65D4"/>
    <w:rsid w:val="00EB68F8"/>
    <w:rsid w:val="00EC117F"/>
    <w:rsid w:val="00EE655D"/>
    <w:rsid w:val="00EF3B83"/>
    <w:rsid w:val="00F13D8B"/>
    <w:rsid w:val="00F5522D"/>
    <w:rsid w:val="00F629EA"/>
    <w:rsid w:val="00F66EEF"/>
    <w:rsid w:val="00F70CA4"/>
    <w:rsid w:val="00F9169E"/>
    <w:rsid w:val="00FA1BBA"/>
    <w:rsid w:val="00FA3233"/>
    <w:rsid w:val="00FB2589"/>
    <w:rsid w:val="00FD25F6"/>
    <w:rsid w:val="00FE2EA8"/>
    <w:rsid w:val="101064F7"/>
    <w:rsid w:val="13ED41C3"/>
    <w:rsid w:val="17D4BC44"/>
    <w:rsid w:val="1C4E3DD5"/>
    <w:rsid w:val="1FFA066A"/>
    <w:rsid w:val="26FB5585"/>
    <w:rsid w:val="28164AED"/>
    <w:rsid w:val="2B5621F6"/>
    <w:rsid w:val="2CB73169"/>
    <w:rsid w:val="38366548"/>
    <w:rsid w:val="3C395948"/>
    <w:rsid w:val="3CBBABBD"/>
    <w:rsid w:val="3DFEDAF5"/>
    <w:rsid w:val="3FF7396D"/>
    <w:rsid w:val="3FF90ED6"/>
    <w:rsid w:val="40615386"/>
    <w:rsid w:val="48781511"/>
    <w:rsid w:val="4D283CA5"/>
    <w:rsid w:val="5426635A"/>
    <w:rsid w:val="563E34A0"/>
    <w:rsid w:val="5ADF0288"/>
    <w:rsid w:val="5D3398B4"/>
    <w:rsid w:val="5F145885"/>
    <w:rsid w:val="63D37DB8"/>
    <w:rsid w:val="69A83640"/>
    <w:rsid w:val="73FDA32D"/>
    <w:rsid w:val="78FA7DAE"/>
    <w:rsid w:val="7ABABE05"/>
    <w:rsid w:val="7B644CB0"/>
    <w:rsid w:val="7BB555E8"/>
    <w:rsid w:val="7FD7452E"/>
    <w:rsid w:val="8FEFC005"/>
    <w:rsid w:val="A7B36526"/>
    <w:rsid w:val="B9ADE82C"/>
    <w:rsid w:val="BFB6DEAB"/>
    <w:rsid w:val="CB2FCCCD"/>
    <w:rsid w:val="D752CD94"/>
    <w:rsid w:val="EFCCEE82"/>
    <w:rsid w:val="F2DEF0DA"/>
    <w:rsid w:val="F9FF8BC6"/>
    <w:rsid w:val="FAFFCC12"/>
    <w:rsid w:val="FEFF5714"/>
    <w:rsid w:val="FFE7A1BE"/>
    <w:rsid w:val="FFFFC7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Times New Roman" w:hAnsi="Times New Roman" w:eastAsia="宋体" w:cs="Times New Roman"/>
    </w:rPr>
  </w:style>
  <w:style w:type="paragraph" w:styleId="3">
    <w:name w:val="Body Text"/>
    <w:basedOn w:val="1"/>
    <w:next w:val="4"/>
    <w:qFormat/>
    <w:uiPriority w:val="0"/>
    <w:rPr>
      <w:rFonts w:eastAsia="宋体"/>
    </w:rPr>
  </w:style>
  <w:style w:type="paragraph" w:styleId="4">
    <w:name w:val="Body Text 2"/>
    <w:basedOn w:val="1"/>
    <w:next w:val="3"/>
    <w:qFormat/>
    <w:uiPriority w:val="0"/>
    <w:pPr>
      <w:spacing w:after="120" w:line="480" w:lineRule="auto"/>
    </w:pPr>
    <w:rPr>
      <w:rFonts w:ascii="Times New Roman" w:hAnsi="Times New Roman" w:cs="Times New Roman"/>
    </w:rPr>
  </w:style>
  <w:style w:type="paragraph" w:styleId="5">
    <w:name w:val="Body Text First Indent 2"/>
    <w:basedOn w:val="6"/>
    <w:qFormat/>
    <w:uiPriority w:val="0"/>
    <w:pPr>
      <w:spacing w:line="560" w:lineRule="exact"/>
      <w:ind w:firstLine="420"/>
    </w:pPr>
    <w:rPr>
      <w:rFonts w:ascii="Times New Roman" w:hAnsi="Times New Roman" w:eastAsia="宋体" w:cs="黑体"/>
      <w:color w:val="000000"/>
      <w:szCs w:val="21"/>
      <w:lang w:val="en-US"/>
    </w:rPr>
  </w:style>
  <w:style w:type="paragraph" w:styleId="6">
    <w:name w:val="Body Text Indent"/>
    <w:basedOn w:val="1"/>
    <w:qFormat/>
    <w:uiPriority w:val="0"/>
    <w:pPr>
      <w:spacing w:after="120"/>
      <w:ind w:left="420" w:leftChars="200"/>
    </w:pPr>
    <w:rPr>
      <w:rFonts w:ascii="Times New Roman" w:hAnsi="Times New Roman" w:cs="Times New Roman"/>
      <w:lang w:val="zh-CN"/>
    </w:rPr>
  </w:style>
  <w:style w:type="paragraph" w:styleId="7">
    <w:name w:val="Salutation"/>
    <w:next w:val="1"/>
    <w:qFormat/>
    <w:uiPriority w:val="0"/>
    <w:pPr>
      <w:widowControl w:val="0"/>
      <w:suppressAutoHyphens w:val="0"/>
      <w:jc w:val="both"/>
    </w:pPr>
    <w:rPr>
      <w:rFonts w:ascii="Calibri" w:hAnsi="Calibri" w:eastAsia="仿宋_GB2312" w:cs="Times New Roman"/>
      <w:kern w:val="2"/>
      <w:sz w:val="32"/>
      <w:szCs w:val="20"/>
      <w:lang w:val="en-US" w:eastAsia="zh-CN" w:bidi="ar-SA"/>
    </w:rPr>
  </w:style>
  <w:style w:type="paragraph" w:styleId="8">
    <w:name w:val="Balloon Text"/>
    <w:basedOn w:val="1"/>
    <w:semiHidden/>
    <w:qFormat/>
    <w:uiPriority w:val="0"/>
    <w:rPr>
      <w:sz w:val="18"/>
      <w:szCs w:val="18"/>
    </w:rPr>
  </w:style>
  <w:style w:type="paragraph" w:styleId="9">
    <w:name w:val="footer"/>
    <w:basedOn w:val="1"/>
    <w:link w:val="14"/>
    <w:qFormat/>
    <w:uiPriority w:val="0"/>
    <w:pPr>
      <w:tabs>
        <w:tab w:val="center" w:pos="4153"/>
        <w:tab w:val="right" w:pos="8306"/>
      </w:tabs>
      <w:snapToGrid w:val="0"/>
      <w:jc w:val="left"/>
    </w:pPr>
    <w:rPr>
      <w:sz w:val="18"/>
      <w:szCs w:val="18"/>
    </w:rPr>
  </w:style>
  <w:style w:type="paragraph" w:styleId="10">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0"/>
    <w:rPr>
      <w:kern w:val="2"/>
      <w:sz w:val="18"/>
      <w:szCs w:val="18"/>
    </w:rPr>
  </w:style>
  <w:style w:type="character" w:customStyle="1" w:styleId="14">
    <w:name w:val="页脚 Char"/>
    <w:basedOn w:val="12"/>
    <w:link w:val="9"/>
    <w:qFormat/>
    <w:uiPriority w:val="0"/>
    <w:rPr>
      <w:kern w:val="2"/>
      <w:sz w:val="18"/>
      <w:szCs w:val="18"/>
    </w:rPr>
  </w:style>
  <w:style w:type="paragraph" w:customStyle="1" w:styleId="15">
    <w:name w:val="p1"/>
    <w:basedOn w:val="1"/>
    <w:qFormat/>
    <w:uiPriority w:val="0"/>
    <w:pPr>
      <w:spacing w:before="0" w:beforeAutospacing="0" w:after="0" w:afterAutospacing="0"/>
      <w:ind w:left="0" w:right="0"/>
      <w:jc w:val="left"/>
    </w:pPr>
    <w:rPr>
      <w:rFonts w:ascii="微软雅黑" w:hAnsi="微软雅黑" w:eastAsia="微软雅黑" w:cs="微软雅黑"/>
      <w:color w:val="171A1F"/>
      <w:kern w:val="0"/>
      <w:sz w:val="28"/>
      <w:szCs w:val="2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Library\Containers\com.kingsoft.wpsoffice.mac\Data\C:\Users\d\Library\Containers\com.kingsoft.wpsoffice.mac\Data\.kingsoft\office6\templates\download\9b4f61bc-776a-444b-8ee2-d0ec67ff87f7\&#34892;&#25919;&#37096;&#32771;&#26680;&#34920;.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行政部考核表.doc.docx</Template>
  <Pages>2</Pages>
  <Words>906</Words>
  <Characters>925</Characters>
  <Lines>12</Lines>
  <Paragraphs>3</Paragraphs>
  <TotalTime>85</TotalTime>
  <ScaleCrop>false</ScaleCrop>
  <LinksUpToDate>false</LinksUpToDate>
  <CharactersWithSpaces>1047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2023-07-29T10:57:00Z</dcterms:created>
  <dc:creator>小丸仔</dc:creator>
  <cp:lastModifiedBy>Administrator</cp:lastModifiedBy>
  <dcterms:modified xsi:type="dcterms:W3CDTF">2024-05-24T06:51:56Z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TemplateUUID">
    <vt:lpwstr>v1.0_mb_G4HxsQ6pqzMcy5tQPlUfXw==</vt:lpwstr>
  </property>
  <property fmtid="{D5CDD505-2E9C-101B-9397-08002B2CF9AE}" pid="4" name="ICV">
    <vt:lpwstr>BADD37EE6D69445E85E64F053146A575_13</vt:lpwstr>
  </property>
</Properties>
</file>