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0"/>
        <w:jc w:val="center"/>
        <w:rPr>
          <w:rFonts w:ascii="黑体" w:eastAsia="黑体"/>
          <w:sz w:val="32"/>
          <w:szCs w:val="32"/>
        </w:rPr>
      </w:pPr>
      <w:bookmarkStart w:id="0" w:name="_GoBack"/>
      <w:r>
        <w:rPr>
          <w:rFonts w:hint="eastAsia" w:ascii="方正小标宋_GBK" w:eastAsia="方正小标宋_GBK"/>
          <w:sz w:val="44"/>
          <w:szCs w:val="44"/>
          <w:lang w:eastAsia="zh-CN"/>
        </w:rPr>
        <w:t>公共资源交易</w:t>
      </w:r>
      <w:r>
        <w:rPr>
          <w:rFonts w:hint="eastAsia" w:ascii="方正小标宋_GBK" w:eastAsia="方正小标宋_GBK"/>
          <w:sz w:val="44"/>
          <w:szCs w:val="44"/>
        </w:rPr>
        <w:t>涉企保证金目录清单</w:t>
      </w:r>
    </w:p>
    <w:bookmarkEnd w:id="0"/>
    <w:p>
      <w:pPr>
        <w:spacing w:line="600" w:lineRule="exact"/>
        <w:ind w:left="2025" w:leftChars="50" w:right="640" w:hanging="1920" w:hangingChars="600"/>
        <w:rPr>
          <w:rFonts w:ascii="仿宋_GB2312" w:eastAsia="仿宋_GB2312"/>
          <w:sz w:val="32"/>
          <w:szCs w:val="32"/>
        </w:rPr>
      </w:pPr>
    </w:p>
    <w:tbl>
      <w:tblPr>
        <w:tblStyle w:val="8"/>
        <w:tblW w:w="14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912"/>
        <w:gridCol w:w="1989"/>
        <w:gridCol w:w="2575"/>
        <w:gridCol w:w="1958"/>
        <w:gridCol w:w="2079"/>
        <w:gridCol w:w="3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11" w:hRule="atLeast"/>
          <w:jc w:val="center"/>
        </w:trPr>
        <w:tc>
          <w:tcPr>
            <w:tcW w:w="885" w:type="dxa"/>
            <w:vAlign w:val="center"/>
          </w:tcPr>
          <w:p>
            <w:pPr>
              <w:jc w:val="center"/>
              <w:rPr>
                <w:b/>
                <w:sz w:val="24"/>
                <w:szCs w:val="24"/>
              </w:rPr>
            </w:pPr>
            <w:r>
              <w:rPr>
                <w:rFonts w:hint="eastAsia"/>
                <w:b/>
                <w:sz w:val="24"/>
                <w:szCs w:val="24"/>
              </w:rPr>
              <w:t>序号</w:t>
            </w:r>
          </w:p>
        </w:tc>
        <w:tc>
          <w:tcPr>
            <w:tcW w:w="1912" w:type="dxa"/>
            <w:vAlign w:val="center"/>
          </w:tcPr>
          <w:p>
            <w:pPr>
              <w:jc w:val="center"/>
              <w:rPr>
                <w:b/>
                <w:sz w:val="24"/>
                <w:szCs w:val="24"/>
              </w:rPr>
            </w:pPr>
            <w:r>
              <w:rPr>
                <w:rFonts w:hint="eastAsia"/>
                <w:b/>
                <w:sz w:val="24"/>
                <w:szCs w:val="24"/>
              </w:rPr>
              <w:t>保证金项目名称</w:t>
            </w:r>
          </w:p>
        </w:tc>
        <w:tc>
          <w:tcPr>
            <w:tcW w:w="1989" w:type="dxa"/>
            <w:vAlign w:val="center"/>
          </w:tcPr>
          <w:p>
            <w:pPr>
              <w:jc w:val="center"/>
              <w:rPr>
                <w:b/>
                <w:sz w:val="24"/>
                <w:szCs w:val="24"/>
              </w:rPr>
            </w:pPr>
            <w:r>
              <w:rPr>
                <w:rFonts w:hint="eastAsia"/>
                <w:b/>
                <w:sz w:val="24"/>
                <w:szCs w:val="24"/>
              </w:rPr>
              <w:t>设立单位</w:t>
            </w:r>
          </w:p>
        </w:tc>
        <w:tc>
          <w:tcPr>
            <w:tcW w:w="2575" w:type="dxa"/>
            <w:vAlign w:val="center"/>
          </w:tcPr>
          <w:p>
            <w:pPr>
              <w:jc w:val="center"/>
              <w:rPr>
                <w:b/>
                <w:sz w:val="24"/>
                <w:szCs w:val="24"/>
              </w:rPr>
            </w:pPr>
            <w:r>
              <w:rPr>
                <w:rFonts w:hint="eastAsia"/>
                <w:b/>
                <w:sz w:val="24"/>
                <w:szCs w:val="24"/>
              </w:rPr>
              <w:t>设立依据</w:t>
            </w:r>
          </w:p>
        </w:tc>
        <w:tc>
          <w:tcPr>
            <w:tcW w:w="1958" w:type="dxa"/>
            <w:vAlign w:val="center"/>
          </w:tcPr>
          <w:p>
            <w:pPr>
              <w:jc w:val="center"/>
              <w:rPr>
                <w:b/>
                <w:sz w:val="24"/>
                <w:szCs w:val="24"/>
              </w:rPr>
            </w:pPr>
            <w:r>
              <w:rPr>
                <w:rFonts w:hint="eastAsia"/>
                <w:b/>
                <w:sz w:val="24"/>
                <w:szCs w:val="24"/>
              </w:rPr>
              <w:t>征收标准</w:t>
            </w:r>
          </w:p>
        </w:tc>
        <w:tc>
          <w:tcPr>
            <w:tcW w:w="2079" w:type="dxa"/>
            <w:vAlign w:val="center"/>
          </w:tcPr>
          <w:p>
            <w:pPr>
              <w:jc w:val="center"/>
              <w:rPr>
                <w:b/>
                <w:sz w:val="24"/>
                <w:szCs w:val="24"/>
              </w:rPr>
            </w:pPr>
            <w:r>
              <w:rPr>
                <w:rFonts w:hint="eastAsia"/>
                <w:b/>
                <w:sz w:val="24"/>
                <w:szCs w:val="24"/>
              </w:rPr>
              <w:t>征收程序</w:t>
            </w:r>
          </w:p>
        </w:tc>
        <w:tc>
          <w:tcPr>
            <w:tcW w:w="3222" w:type="dxa"/>
            <w:vAlign w:val="center"/>
          </w:tcPr>
          <w:p>
            <w:pPr>
              <w:jc w:val="center"/>
              <w:rPr>
                <w:b/>
                <w:sz w:val="24"/>
                <w:szCs w:val="24"/>
              </w:rPr>
            </w:pPr>
            <w:r>
              <w:rPr>
                <w:rFonts w:hint="eastAsia"/>
                <w:b/>
                <w:sz w:val="24"/>
                <w:szCs w:val="24"/>
              </w:rPr>
              <w:t>返还时间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29" w:hRule="atLeast"/>
          <w:jc w:val="center"/>
        </w:trPr>
        <w:tc>
          <w:tcPr>
            <w:tcW w:w="885" w:type="dxa"/>
            <w:textDirection w:val="lrTb"/>
            <w:vAlign w:val="center"/>
          </w:tcPr>
          <w:p>
            <w:pPr>
              <w:jc w:val="center"/>
              <w:rPr>
                <w:rFonts w:hint="eastAsia" w:eastAsiaTheme="minorEastAsia"/>
                <w:sz w:val="24"/>
                <w:szCs w:val="24"/>
                <w:lang w:eastAsia="zh-CN"/>
              </w:rPr>
            </w:pPr>
            <w:r>
              <w:rPr>
                <w:rFonts w:hint="eastAsia"/>
                <w:sz w:val="24"/>
                <w:szCs w:val="24"/>
                <w:lang w:val="en-US" w:eastAsia="zh-CN"/>
              </w:rPr>
              <w:t>1</w:t>
            </w:r>
          </w:p>
        </w:tc>
        <w:tc>
          <w:tcPr>
            <w:tcW w:w="1912" w:type="dxa"/>
            <w:textDirection w:val="lrTb"/>
            <w:vAlign w:val="center"/>
          </w:tcPr>
          <w:p>
            <w:pPr>
              <w:jc w:val="center"/>
              <w:rPr>
                <w:rFonts w:hint="eastAsia" w:eastAsiaTheme="minorEastAsia"/>
                <w:sz w:val="21"/>
                <w:szCs w:val="21"/>
                <w:lang w:eastAsia="zh-CN"/>
              </w:rPr>
            </w:pPr>
            <w:r>
              <w:rPr>
                <w:rFonts w:hint="eastAsia"/>
                <w:sz w:val="24"/>
                <w:szCs w:val="24"/>
                <w:lang w:eastAsia="zh-CN"/>
              </w:rPr>
              <w:t>投标保证金</w:t>
            </w:r>
          </w:p>
        </w:tc>
        <w:tc>
          <w:tcPr>
            <w:tcW w:w="1989" w:type="dxa"/>
            <w:textDirection w:val="lrTb"/>
            <w:vAlign w:val="center"/>
          </w:tcPr>
          <w:p>
            <w:pPr>
              <w:jc w:val="center"/>
              <w:rPr>
                <w:rFonts w:hint="eastAsia" w:eastAsiaTheme="minorEastAsia"/>
                <w:sz w:val="21"/>
                <w:szCs w:val="21"/>
                <w:lang w:eastAsia="zh-CN"/>
              </w:rPr>
            </w:pPr>
            <w:r>
              <w:rPr>
                <w:rFonts w:hint="eastAsia"/>
                <w:sz w:val="24"/>
                <w:szCs w:val="24"/>
                <w:lang w:eastAsia="zh-CN"/>
              </w:rPr>
              <w:t>发展改革委</w:t>
            </w:r>
          </w:p>
        </w:tc>
        <w:tc>
          <w:tcPr>
            <w:tcW w:w="2575" w:type="dxa"/>
            <w:textDirection w:val="lrTb"/>
            <w:vAlign w:val="center"/>
          </w:tcPr>
          <w:p>
            <w:pPr>
              <w:jc w:val="center"/>
              <w:rPr>
                <w:rFonts w:hint="eastAsia" w:eastAsiaTheme="minorEastAsia"/>
                <w:sz w:val="21"/>
                <w:szCs w:val="21"/>
                <w:lang w:eastAsia="zh-CN"/>
              </w:rPr>
            </w:pPr>
            <w:r>
              <w:rPr>
                <w:rFonts w:hint="eastAsia"/>
                <w:sz w:val="24"/>
                <w:szCs w:val="24"/>
                <w:lang w:eastAsia="zh-CN"/>
              </w:rPr>
              <w:t>《中华人民共和国招标投标法》、《中华人民共和国招标投标法实施条例》</w:t>
            </w:r>
          </w:p>
        </w:tc>
        <w:tc>
          <w:tcPr>
            <w:tcW w:w="1958" w:type="dxa"/>
            <w:textDirection w:val="lrTb"/>
            <w:vAlign w:val="center"/>
          </w:tcPr>
          <w:p>
            <w:pPr>
              <w:jc w:val="center"/>
              <w:rPr>
                <w:rFonts w:asciiTheme="minorHAnsi" w:hAnsiTheme="minorHAnsi" w:eastAsiaTheme="minorEastAsia" w:cstheme="minorBidi"/>
                <w:kern w:val="2"/>
                <w:sz w:val="21"/>
                <w:szCs w:val="21"/>
                <w:lang w:val="en-US" w:eastAsia="zh-CN" w:bidi="ar-SA"/>
              </w:rPr>
            </w:pPr>
            <w:r>
              <w:rPr>
                <w:rFonts w:hint="eastAsia"/>
                <w:sz w:val="24"/>
                <w:szCs w:val="24"/>
                <w:lang w:eastAsia="zh-CN"/>
              </w:rPr>
              <w:t>投标保证金不得超过招标项目估算价的</w:t>
            </w:r>
            <w:r>
              <w:rPr>
                <w:rFonts w:hint="eastAsia"/>
                <w:sz w:val="24"/>
                <w:szCs w:val="24"/>
                <w:lang w:val="en-US" w:eastAsia="zh-CN"/>
              </w:rPr>
              <w:t>2%</w:t>
            </w:r>
          </w:p>
        </w:tc>
        <w:tc>
          <w:tcPr>
            <w:tcW w:w="2079" w:type="dxa"/>
            <w:textDirection w:val="lrTb"/>
            <w:vAlign w:val="center"/>
          </w:tcPr>
          <w:p>
            <w:pPr>
              <w:jc w:val="center"/>
              <w:rPr>
                <w:rFonts w:hint="eastAsia" w:eastAsiaTheme="minorEastAsia"/>
                <w:sz w:val="21"/>
                <w:szCs w:val="21"/>
                <w:lang w:eastAsia="zh-CN"/>
              </w:rPr>
            </w:pPr>
            <w:r>
              <w:rPr>
                <w:rFonts w:hint="eastAsia"/>
                <w:sz w:val="24"/>
                <w:szCs w:val="24"/>
                <w:lang w:eastAsia="zh-CN"/>
              </w:rPr>
              <w:t>根据招标文件具体要求执行</w:t>
            </w:r>
          </w:p>
        </w:tc>
        <w:tc>
          <w:tcPr>
            <w:tcW w:w="3222" w:type="dxa"/>
            <w:textDirection w:val="lrTb"/>
            <w:vAlign w:val="top"/>
          </w:tcPr>
          <w:p>
            <w:pPr>
              <w:keepNext w:val="0"/>
              <w:keepLines w:val="0"/>
              <w:widowControl/>
              <w:suppressLineNumbers w:val="0"/>
              <w:jc w:val="both"/>
              <w:textAlignment w:val="top"/>
              <w:rPr>
                <w:rFonts w:hint="eastAsia" w:eastAsiaTheme="minorEastAsia"/>
                <w:sz w:val="21"/>
                <w:szCs w:val="21"/>
                <w:lang w:eastAsia="zh-CN"/>
              </w:rPr>
            </w:pPr>
            <w:r>
              <w:rPr>
                <w:rFonts w:hint="default"/>
                <w:sz w:val="21"/>
                <w:szCs w:val="21"/>
                <w:lang w:val="en-US" w:eastAsia="zh-CN"/>
              </w:rPr>
              <w:t>招标人最迟应当在书面合同签订后5日内向中标人和未中标的投标人退还投标保证金及银行同期存款利息。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1" w:hRule="atLeast"/>
          <w:jc w:val="center"/>
        </w:trPr>
        <w:tc>
          <w:tcPr>
            <w:tcW w:w="885" w:type="dxa"/>
            <w:textDirection w:val="lrTb"/>
            <w:vAlign w:val="center"/>
          </w:tcPr>
          <w:p>
            <w:pPr>
              <w:jc w:val="center"/>
              <w:rPr>
                <w:rFonts w:hint="eastAsia" w:eastAsiaTheme="minorEastAsia"/>
                <w:sz w:val="24"/>
                <w:szCs w:val="24"/>
                <w:lang w:eastAsia="zh-CN"/>
              </w:rPr>
            </w:pPr>
            <w:r>
              <w:rPr>
                <w:rFonts w:hint="eastAsia"/>
                <w:sz w:val="24"/>
                <w:szCs w:val="24"/>
                <w:lang w:val="en-US" w:eastAsia="zh-CN"/>
              </w:rPr>
              <w:t>2</w:t>
            </w:r>
          </w:p>
        </w:tc>
        <w:tc>
          <w:tcPr>
            <w:tcW w:w="1912" w:type="dxa"/>
            <w:textDirection w:val="lrTb"/>
            <w:vAlign w:val="center"/>
          </w:tcPr>
          <w:p>
            <w:pPr>
              <w:jc w:val="center"/>
              <w:rPr>
                <w:rFonts w:hint="eastAsia" w:eastAsiaTheme="minorEastAsia"/>
                <w:sz w:val="24"/>
                <w:szCs w:val="24"/>
                <w:lang w:eastAsia="zh-CN"/>
              </w:rPr>
            </w:pPr>
            <w:r>
              <w:rPr>
                <w:rFonts w:hint="default"/>
                <w:sz w:val="24"/>
                <w:szCs w:val="24"/>
                <w:lang w:val="en-US" w:eastAsia="zh-CN"/>
              </w:rPr>
              <w:t>政府采购招标（竞争性谈判、询价）保证金</w:t>
            </w:r>
          </w:p>
        </w:tc>
        <w:tc>
          <w:tcPr>
            <w:tcW w:w="1989" w:type="dxa"/>
            <w:textDirection w:val="lrTb"/>
            <w:vAlign w:val="center"/>
          </w:tcPr>
          <w:p>
            <w:pPr>
              <w:jc w:val="center"/>
              <w:rPr>
                <w:rFonts w:hint="eastAsia" w:eastAsiaTheme="minorEastAsia"/>
                <w:sz w:val="24"/>
                <w:szCs w:val="24"/>
                <w:lang w:eastAsia="zh-CN"/>
              </w:rPr>
            </w:pPr>
            <w:r>
              <w:rPr>
                <w:rFonts w:hint="default"/>
                <w:sz w:val="24"/>
                <w:szCs w:val="24"/>
                <w:lang w:val="en-US" w:eastAsia="zh-CN"/>
              </w:rPr>
              <w:t>财政部</w:t>
            </w:r>
          </w:p>
        </w:tc>
        <w:tc>
          <w:tcPr>
            <w:tcW w:w="2575" w:type="dxa"/>
            <w:textDirection w:val="lrTb"/>
            <w:vAlign w:val="top"/>
          </w:tcPr>
          <w:p>
            <w:pPr>
              <w:jc w:val="center"/>
              <w:rPr>
                <w:rFonts w:hint="default"/>
                <w:sz w:val="24"/>
                <w:szCs w:val="24"/>
                <w:lang w:val="en-US" w:eastAsia="zh-CN"/>
              </w:rPr>
            </w:pPr>
          </w:p>
          <w:p>
            <w:pPr>
              <w:jc w:val="center"/>
              <w:rPr>
                <w:rFonts w:hint="default"/>
                <w:sz w:val="24"/>
                <w:szCs w:val="24"/>
                <w:lang w:val="en-US" w:eastAsia="zh-CN"/>
              </w:rPr>
            </w:pPr>
          </w:p>
          <w:p>
            <w:pPr>
              <w:jc w:val="center"/>
              <w:rPr>
                <w:rFonts w:hint="eastAsia" w:eastAsiaTheme="minorEastAsia"/>
                <w:sz w:val="24"/>
                <w:szCs w:val="24"/>
                <w:lang w:eastAsia="zh-CN"/>
              </w:rPr>
            </w:pPr>
            <w:r>
              <w:rPr>
                <w:rFonts w:hint="default"/>
                <w:sz w:val="24"/>
                <w:szCs w:val="24"/>
                <w:lang w:val="en-US" w:eastAsia="zh-CN"/>
              </w:rPr>
              <w:t>《中华人民共和国政府采购法实施条例》</w:t>
            </w:r>
          </w:p>
        </w:tc>
        <w:tc>
          <w:tcPr>
            <w:tcW w:w="1958" w:type="dxa"/>
            <w:textDirection w:val="lrTb"/>
            <w:vAlign w:val="top"/>
          </w:tcPr>
          <w:p>
            <w:pPr>
              <w:jc w:val="center"/>
              <w:rPr>
                <w:rFonts w:hint="eastAsia" w:eastAsiaTheme="minorEastAsia"/>
                <w:sz w:val="24"/>
                <w:szCs w:val="24"/>
                <w:lang w:eastAsia="zh-CN"/>
              </w:rPr>
            </w:pPr>
            <w:r>
              <w:rPr>
                <w:rFonts w:hint="default"/>
                <w:sz w:val="24"/>
                <w:szCs w:val="24"/>
                <w:lang w:val="en-US" w:eastAsia="zh-CN"/>
              </w:rPr>
              <w:t>政府采购招标（竞争性谈判、询价）保证金不得超过采购项目预算金额的2%。</w:t>
            </w:r>
          </w:p>
        </w:tc>
        <w:tc>
          <w:tcPr>
            <w:tcW w:w="2079" w:type="dxa"/>
            <w:textDirection w:val="lrTb"/>
            <w:vAlign w:val="top"/>
          </w:tcPr>
          <w:p>
            <w:pPr>
              <w:jc w:val="center"/>
              <w:rPr>
                <w:rFonts w:hint="eastAsia" w:eastAsiaTheme="minorEastAsia"/>
                <w:sz w:val="24"/>
                <w:szCs w:val="24"/>
                <w:lang w:eastAsia="zh-CN"/>
              </w:rPr>
            </w:pPr>
            <w:r>
              <w:rPr>
                <w:rFonts w:hint="default"/>
                <w:sz w:val="24"/>
                <w:szCs w:val="24"/>
                <w:lang w:val="en-US" w:eastAsia="zh-CN"/>
              </w:rPr>
              <w:t>供应商在提交投标文件（竞争谈判响应文件、询价响应文件）时按照采购文件约定一并提交。</w:t>
            </w:r>
          </w:p>
        </w:tc>
        <w:tc>
          <w:tcPr>
            <w:tcW w:w="3222" w:type="dxa"/>
            <w:textDirection w:val="lrTb"/>
            <w:vAlign w:val="top"/>
          </w:tcPr>
          <w:p>
            <w:pPr>
              <w:jc w:val="center"/>
              <w:rPr>
                <w:rFonts w:hint="eastAsia" w:eastAsiaTheme="minorEastAsia"/>
                <w:sz w:val="24"/>
                <w:szCs w:val="24"/>
                <w:lang w:eastAsia="zh-CN"/>
              </w:rPr>
            </w:pPr>
            <w:r>
              <w:rPr>
                <w:rFonts w:hint="default"/>
                <w:sz w:val="24"/>
                <w:szCs w:val="24"/>
                <w:lang w:val="en-US" w:eastAsia="zh-CN"/>
              </w:rPr>
              <w:t>自中标通知书发出之日起5个工作日内，退还未中标供应商的保证金；自政府采购合同签订之日起5个工作日内，退还中标供应商的保证金。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885" w:type="dxa"/>
            <w:vAlign w:val="center"/>
          </w:tcPr>
          <w:p>
            <w:pPr>
              <w:jc w:val="center"/>
              <w:rPr>
                <w:sz w:val="24"/>
                <w:szCs w:val="24"/>
              </w:rPr>
            </w:pPr>
          </w:p>
        </w:tc>
        <w:tc>
          <w:tcPr>
            <w:tcW w:w="1912" w:type="dxa"/>
            <w:textDirection w:val="lrTb"/>
            <w:vAlign w:val="center"/>
          </w:tcPr>
          <w:p>
            <w:pPr>
              <w:jc w:val="center"/>
              <w:rPr>
                <w:rFonts w:hint="eastAsia"/>
                <w:sz w:val="24"/>
                <w:szCs w:val="24"/>
                <w:lang w:eastAsia="zh-CN"/>
              </w:rPr>
            </w:pPr>
          </w:p>
        </w:tc>
        <w:tc>
          <w:tcPr>
            <w:tcW w:w="1989" w:type="dxa"/>
            <w:textDirection w:val="lrTb"/>
            <w:vAlign w:val="center"/>
          </w:tcPr>
          <w:p>
            <w:pPr>
              <w:jc w:val="center"/>
              <w:rPr>
                <w:rFonts w:hint="eastAsia"/>
                <w:sz w:val="24"/>
                <w:szCs w:val="24"/>
                <w:lang w:eastAsia="zh-CN"/>
              </w:rPr>
            </w:pPr>
          </w:p>
        </w:tc>
        <w:tc>
          <w:tcPr>
            <w:tcW w:w="2575" w:type="dxa"/>
            <w:textDirection w:val="lrTb"/>
            <w:vAlign w:val="top"/>
          </w:tcPr>
          <w:p>
            <w:pPr>
              <w:jc w:val="center"/>
              <w:rPr>
                <w:rFonts w:hint="eastAsia"/>
                <w:sz w:val="24"/>
                <w:szCs w:val="24"/>
                <w:lang w:eastAsia="zh-CN"/>
              </w:rPr>
            </w:pPr>
          </w:p>
        </w:tc>
        <w:tc>
          <w:tcPr>
            <w:tcW w:w="1958" w:type="dxa"/>
            <w:textDirection w:val="lrTb"/>
            <w:vAlign w:val="top"/>
          </w:tcPr>
          <w:p>
            <w:pPr>
              <w:jc w:val="center"/>
              <w:rPr>
                <w:rFonts w:hint="eastAsia"/>
                <w:sz w:val="24"/>
                <w:szCs w:val="24"/>
                <w:lang w:eastAsia="zh-CN"/>
              </w:rPr>
            </w:pPr>
          </w:p>
        </w:tc>
        <w:tc>
          <w:tcPr>
            <w:tcW w:w="2079" w:type="dxa"/>
            <w:textDirection w:val="lrTb"/>
            <w:vAlign w:val="top"/>
          </w:tcPr>
          <w:p>
            <w:pPr>
              <w:jc w:val="center"/>
              <w:rPr>
                <w:rFonts w:hint="eastAsia"/>
                <w:sz w:val="24"/>
                <w:szCs w:val="24"/>
                <w:lang w:eastAsia="zh-CN"/>
              </w:rPr>
            </w:pPr>
          </w:p>
        </w:tc>
        <w:tc>
          <w:tcPr>
            <w:tcW w:w="3222" w:type="dxa"/>
            <w:textDirection w:val="lrTb"/>
            <w:vAlign w:val="top"/>
          </w:tcPr>
          <w:p>
            <w:pPr>
              <w:jc w:val="center"/>
              <w:rPr>
                <w:rFonts w:hint="eastAsia"/>
                <w:sz w:val="24"/>
                <w:szCs w:val="24"/>
                <w:lang w:eastAsia="zh-CN"/>
              </w:rPr>
            </w:pPr>
          </w:p>
        </w:tc>
      </w:tr>
    </w:tbl>
    <w:p>
      <w:pPr>
        <w:spacing w:line="600" w:lineRule="exact"/>
        <w:ind w:right="640"/>
        <w:rPr>
          <w:rFonts w:hint="eastAsia" w:ascii="方正小标宋_GBK" w:eastAsia="方正小标宋_GBK"/>
          <w:sz w:val="44"/>
          <w:szCs w:val="44"/>
        </w:rPr>
      </w:pPr>
    </w:p>
    <w:p/>
    <w:sectPr>
      <w:pgSz w:w="16838" w:h="11906" w:orient="landscape"/>
      <w:pgMar w:top="1440" w:right="1080" w:bottom="1440" w:left="108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69827B2"/>
    <w:rsid w:val="0024707D"/>
    <w:rsid w:val="002B1557"/>
    <w:rsid w:val="006C7C80"/>
    <w:rsid w:val="0077564E"/>
    <w:rsid w:val="009320F7"/>
    <w:rsid w:val="00EE3B4B"/>
    <w:rsid w:val="03A20716"/>
    <w:rsid w:val="0B6D4042"/>
    <w:rsid w:val="0CF85D71"/>
    <w:rsid w:val="2218559A"/>
    <w:rsid w:val="2C7057D9"/>
    <w:rsid w:val="64F10703"/>
    <w:rsid w:val="65C95B46"/>
    <w:rsid w:val="669827B2"/>
    <w:rsid w:val="705F36F0"/>
    <w:rsid w:val="7413403B"/>
    <w:rsid w:val="753C264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9"/>
    <w:qFormat/>
    <w:uiPriority w:val="0"/>
    <w:rPr>
      <w:rFonts w:ascii="宋体" w:eastAsia="宋体"/>
      <w:sz w:val="18"/>
      <w:szCs w:val="18"/>
    </w:r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文档结构图 Char"/>
    <w:basedOn w:val="6"/>
    <w:link w:val="2"/>
    <w:qFormat/>
    <w:uiPriority w:val="0"/>
    <w:rPr>
      <w:rFonts w:ascii="宋体" w:eastAsia="宋体"/>
      <w:kern w:val="2"/>
      <w:sz w:val="18"/>
      <w:szCs w:val="18"/>
    </w:rPr>
  </w:style>
  <w:style w:type="character" w:customStyle="1" w:styleId="10">
    <w:name w:val="页眉 Char"/>
    <w:basedOn w:val="6"/>
    <w:link w:val="5"/>
    <w:qFormat/>
    <w:uiPriority w:val="0"/>
    <w:rPr>
      <w:kern w:val="2"/>
      <w:sz w:val="18"/>
      <w:szCs w:val="18"/>
    </w:rPr>
  </w:style>
  <w:style w:type="character" w:customStyle="1" w:styleId="11">
    <w:name w:val="页脚 Char"/>
    <w:basedOn w:val="6"/>
    <w:link w:val="4"/>
    <w:qFormat/>
    <w:uiPriority w:val="0"/>
    <w:rPr>
      <w:kern w:val="2"/>
      <w:sz w:val="18"/>
      <w:szCs w:val="18"/>
    </w:rPr>
  </w:style>
  <w:style w:type="character" w:customStyle="1" w:styleId="12">
    <w:name w:val="批注框文本 Char"/>
    <w:basedOn w:val="6"/>
    <w:link w:val="3"/>
    <w:qFormat/>
    <w:uiPriority w:val="0"/>
    <w:rPr>
      <w:kern w:val="2"/>
      <w:sz w:val="18"/>
      <w:szCs w:val="18"/>
    </w:rPr>
  </w:style>
  <w:style w:type="character" w:customStyle="1" w:styleId="13">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60</Words>
  <Characters>348</Characters>
  <Lines>2</Lines>
  <Paragraphs>1</Paragraphs>
  <ScaleCrop>false</ScaleCrop>
  <LinksUpToDate>false</LinksUpToDate>
  <CharactersWithSpaces>407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2018-09-18T02:33:00Z</dcterms:created>
  <dc:creator>Administrator</dc:creator>
  <cp:lastModifiedBy>haha</cp:lastModifiedBy>
  <cp:lastPrinted>2018-12-29T07:16:20Z</cp:lastPrinted>
  <dcterms:modified xsi:type="dcterms:W3CDTF">2018-12-29T07:16:24Z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