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color w:val="auto"/>
          <w:spacing w:val="-34"/>
          <w:w w:val="90"/>
          <w:sz w:val="44"/>
          <w:szCs w:val="44"/>
          <w:highlight w:val="none"/>
          <w:lang w:eastAsia="zh-CN"/>
        </w:rPr>
      </w:pPr>
      <w:r>
        <w:rPr>
          <w:rFonts w:hint="eastAsia" w:ascii="方正小标宋简体" w:hAnsi="方正小标宋简体" w:eastAsia="方正小标宋简体" w:cs="方正小标宋简体"/>
          <w:b w:val="0"/>
          <w:bCs w:val="0"/>
          <w:color w:val="auto"/>
          <w:spacing w:val="-34"/>
          <w:w w:val="90"/>
          <w:sz w:val="44"/>
          <w:szCs w:val="44"/>
          <w:highlight w:val="none"/>
          <w:lang w:eastAsia="zh-CN"/>
        </w:rPr>
        <w:t>郑州航空港经济综合实验区自然资源和规划局</w:t>
      </w:r>
    </w:p>
    <w:p>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color w:val="auto"/>
          <w:w w:val="95"/>
          <w:sz w:val="44"/>
          <w:szCs w:val="44"/>
          <w:highlight w:val="none"/>
        </w:rPr>
      </w:pPr>
      <w:r>
        <w:rPr>
          <w:rFonts w:hint="eastAsia" w:ascii="方正小标宋简体" w:hAnsi="方正小标宋简体" w:eastAsia="方正小标宋简体" w:cs="方正小标宋简体"/>
          <w:b w:val="0"/>
          <w:bCs w:val="0"/>
          <w:color w:val="auto"/>
          <w:sz w:val="44"/>
          <w:szCs w:val="44"/>
          <w:highlight w:val="none"/>
        </w:rPr>
        <w:t>国有建设用地使用权挂牌出让公告</w:t>
      </w:r>
    </w:p>
    <w:p>
      <w:pPr>
        <w:keepNext w:val="0"/>
        <w:keepLines w:val="0"/>
        <w:pageBreakBefore w:val="0"/>
        <w:widowControl/>
        <w:kinsoku/>
        <w:wordWrap/>
        <w:overflowPunct/>
        <w:topLinePunct w:val="0"/>
        <w:autoSpaceDE/>
        <w:autoSpaceDN/>
        <w:bidi w:val="0"/>
        <w:adjustRightInd/>
        <w:snapToGrid w:val="0"/>
        <w:spacing w:line="560" w:lineRule="exact"/>
        <w:ind w:left="0"/>
        <w:jc w:val="center"/>
        <w:textAlignment w:val="auto"/>
        <w:outlineLvl w:val="9"/>
        <w:rPr>
          <w:rFonts w:hint="eastAsia" w:ascii="楷体" w:hAnsi="楷体" w:eastAsia="楷体" w:cs="楷体"/>
          <w:color w:val="auto"/>
          <w:sz w:val="30"/>
          <w:szCs w:val="30"/>
          <w:highlight w:val="none"/>
        </w:rPr>
      </w:pPr>
      <w:r>
        <w:rPr>
          <w:rFonts w:hint="eastAsia" w:ascii="楷体" w:hAnsi="楷体" w:eastAsia="楷体" w:cs="楷体"/>
          <w:color w:val="auto"/>
          <w:sz w:val="30"/>
          <w:szCs w:val="30"/>
          <w:highlight w:val="none"/>
        </w:rPr>
        <w:t>郑</w:t>
      </w:r>
      <w:r>
        <w:rPr>
          <w:rFonts w:hint="eastAsia" w:ascii="楷体" w:hAnsi="楷体" w:eastAsia="楷体" w:cs="楷体"/>
          <w:color w:val="auto"/>
          <w:sz w:val="30"/>
          <w:szCs w:val="30"/>
          <w:highlight w:val="none"/>
          <w:lang w:eastAsia="zh-CN"/>
        </w:rPr>
        <w:t>港</w:t>
      </w:r>
      <w:r>
        <w:rPr>
          <w:rFonts w:hint="eastAsia" w:ascii="楷体" w:hAnsi="楷体" w:eastAsia="楷体" w:cs="楷体"/>
          <w:color w:val="auto"/>
          <w:sz w:val="30"/>
          <w:szCs w:val="30"/>
          <w:highlight w:val="none"/>
        </w:rPr>
        <w:t>资交易告字〔20</w:t>
      </w:r>
      <w:r>
        <w:rPr>
          <w:rFonts w:hint="eastAsia" w:ascii="楷体" w:hAnsi="楷体" w:eastAsia="楷体" w:cs="楷体"/>
          <w:color w:val="auto"/>
          <w:sz w:val="30"/>
          <w:szCs w:val="30"/>
          <w:highlight w:val="none"/>
          <w:lang w:val="en-US" w:eastAsia="zh-CN"/>
        </w:rPr>
        <w:t>24</w:t>
      </w:r>
      <w:r>
        <w:rPr>
          <w:rFonts w:hint="eastAsia" w:ascii="楷体" w:hAnsi="楷体" w:eastAsia="楷体" w:cs="楷体"/>
          <w:color w:val="auto"/>
          <w:sz w:val="30"/>
          <w:szCs w:val="30"/>
          <w:highlight w:val="none"/>
        </w:rPr>
        <w:t>〕</w:t>
      </w:r>
      <w:r>
        <w:rPr>
          <w:rFonts w:hint="eastAsia" w:ascii="楷体" w:hAnsi="楷体" w:eastAsia="楷体" w:cs="楷体"/>
          <w:color w:val="auto"/>
          <w:sz w:val="30"/>
          <w:szCs w:val="30"/>
          <w:highlight w:val="none"/>
          <w:lang w:val="en-US" w:eastAsia="zh-CN"/>
        </w:rPr>
        <w:t>52</w:t>
      </w:r>
      <w:r>
        <w:rPr>
          <w:rFonts w:hint="eastAsia" w:ascii="楷体" w:hAnsi="楷体" w:eastAsia="楷体" w:cs="楷体"/>
          <w:color w:val="auto"/>
          <w:sz w:val="30"/>
          <w:szCs w:val="30"/>
          <w:highlight w:val="none"/>
        </w:rPr>
        <w:t>号</w:t>
      </w:r>
    </w:p>
    <w:p>
      <w:pPr>
        <w:keepNext w:val="0"/>
        <w:keepLines w:val="0"/>
        <w:pageBreakBefore w:val="0"/>
        <w:widowControl/>
        <w:numPr>
          <w:ilvl w:val="0"/>
          <w:numId w:val="0"/>
        </w:numPr>
        <w:kinsoku/>
        <w:wordWrap/>
        <w:overflowPunct/>
        <w:topLinePunct w:val="0"/>
        <w:autoSpaceDE/>
        <w:autoSpaceDN/>
        <w:bidi w:val="0"/>
        <w:adjustRightInd/>
        <w:snapToGrid w:val="0"/>
        <w:spacing w:line="400" w:lineRule="exact"/>
        <w:ind w:right="0" w:rightChars="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经郑州航空港经济综合实验区（郑州新郑综合保税区)管理委员会批准，</w:t>
      </w:r>
      <w:r>
        <w:rPr>
          <w:rFonts w:hint="eastAsia" w:ascii="仿宋_GB2312" w:hAnsi="仿宋_GB2312" w:eastAsia="仿宋_GB2312" w:cs="仿宋_GB2312"/>
          <w:color w:val="auto"/>
          <w:sz w:val="32"/>
          <w:szCs w:val="32"/>
          <w:highlight w:val="none"/>
          <w:lang w:eastAsia="zh-CN"/>
        </w:rPr>
        <w:t>郑州航空港经济综合实验区自然资源和规划局</w:t>
      </w:r>
      <w:r>
        <w:rPr>
          <w:rFonts w:hint="eastAsia" w:ascii="仿宋_GB2312" w:hAnsi="仿宋_GB2312" w:eastAsia="仿宋_GB2312" w:cs="仿宋_GB2312"/>
          <w:color w:val="auto"/>
          <w:sz w:val="32"/>
          <w:szCs w:val="32"/>
          <w:highlight w:val="none"/>
        </w:rPr>
        <w:t>决定以</w:t>
      </w:r>
      <w:r>
        <w:rPr>
          <w:rFonts w:hint="eastAsia" w:ascii="仿宋_GB2312" w:hAnsi="仿宋_GB2312" w:eastAsia="仿宋_GB2312" w:cs="仿宋_GB2312"/>
          <w:color w:val="auto"/>
          <w:sz w:val="32"/>
          <w:szCs w:val="32"/>
          <w:highlight w:val="none"/>
          <w:lang w:eastAsia="zh-CN"/>
        </w:rPr>
        <w:t>网</w:t>
      </w:r>
      <w:r>
        <w:rPr>
          <w:rFonts w:hint="eastAsia" w:ascii="仿宋_GB2312" w:hAnsi="仿宋_GB2312" w:eastAsia="仿宋_GB2312" w:cs="仿宋_GB2312"/>
          <w:color w:val="auto"/>
          <w:sz w:val="32"/>
          <w:szCs w:val="32"/>
          <w:highlight w:val="none"/>
          <w:lang w:val="en-US" w:eastAsia="zh-CN"/>
        </w:rPr>
        <w:t>上</w:t>
      </w:r>
      <w:r>
        <w:rPr>
          <w:rFonts w:hint="eastAsia" w:ascii="仿宋_GB2312" w:hAnsi="仿宋_GB2312" w:eastAsia="仿宋_GB2312" w:cs="仿宋_GB2312"/>
          <w:color w:val="auto"/>
          <w:sz w:val="32"/>
          <w:szCs w:val="32"/>
          <w:highlight w:val="none"/>
        </w:rPr>
        <w:t>挂牌方式</w:t>
      </w:r>
      <w:r>
        <w:rPr>
          <w:rFonts w:hint="eastAsia" w:ascii="仿宋_GB2312" w:hAnsi="仿宋_GB2312" w:eastAsia="仿宋_GB2312" w:cs="仿宋_GB2312"/>
          <w:color w:val="auto"/>
          <w:sz w:val="32"/>
          <w:szCs w:val="32"/>
          <w:highlight w:val="none"/>
          <w:lang w:eastAsia="zh-CN"/>
        </w:rPr>
        <w:t>出让郑港出〔2024〕</w:t>
      </w:r>
      <w:r>
        <w:rPr>
          <w:rFonts w:hint="eastAsia" w:ascii="仿宋_GB2312" w:hAnsi="仿宋_GB2312" w:eastAsia="仿宋_GB2312" w:cs="仿宋_GB2312"/>
          <w:color w:val="auto"/>
          <w:sz w:val="32"/>
          <w:szCs w:val="32"/>
          <w:highlight w:val="none"/>
          <w:lang w:val="en-US" w:eastAsia="zh-CN"/>
        </w:rPr>
        <w:t>116</w:t>
      </w:r>
      <w:r>
        <w:rPr>
          <w:rFonts w:hint="eastAsia" w:ascii="仿宋_GB2312" w:hAnsi="仿宋_GB2312" w:eastAsia="仿宋_GB2312" w:cs="仿宋_GB2312"/>
          <w:color w:val="auto"/>
          <w:sz w:val="32"/>
          <w:szCs w:val="32"/>
          <w:highlight w:val="none"/>
          <w:lang w:eastAsia="zh-CN"/>
        </w:rPr>
        <w:t>号（网）国有建设用</w:t>
      </w:r>
      <w:r>
        <w:rPr>
          <w:rFonts w:hint="eastAsia" w:ascii="仿宋_GB2312" w:hAnsi="仿宋_GB2312" w:eastAsia="仿宋_GB2312" w:cs="仿宋_GB2312"/>
          <w:color w:val="auto"/>
          <w:sz w:val="32"/>
          <w:szCs w:val="32"/>
          <w:highlight w:val="none"/>
        </w:rPr>
        <w:t>地使用权，</w:t>
      </w:r>
      <w:r>
        <w:rPr>
          <w:rFonts w:hint="eastAsia" w:ascii="仿宋_GB2312" w:hAnsi="仿宋_GB2312" w:eastAsia="仿宋_GB2312" w:cs="仿宋_GB2312"/>
          <w:color w:val="auto"/>
          <w:sz w:val="32"/>
          <w:szCs w:val="32"/>
          <w:highlight w:val="none"/>
          <w:lang w:eastAsia="zh-CN"/>
        </w:rPr>
        <w:t>具体</w:t>
      </w:r>
      <w:r>
        <w:rPr>
          <w:rFonts w:hint="eastAsia" w:ascii="仿宋_GB2312" w:hAnsi="仿宋_GB2312" w:eastAsia="仿宋_GB2312" w:cs="仿宋_GB2312"/>
          <w:color w:val="auto"/>
          <w:sz w:val="32"/>
          <w:szCs w:val="32"/>
          <w:highlight w:val="none"/>
        </w:rPr>
        <w:t>由郑州航空港经济综合实验区（郑州新郑综合保税区)公共资源交易中心承办。现将有关事项公告如下：</w:t>
      </w:r>
    </w:p>
    <w:p>
      <w:pPr>
        <w:keepNext w:val="0"/>
        <w:keepLines w:val="0"/>
        <w:pageBreakBefore w:val="0"/>
        <w:widowControl/>
        <w:numPr>
          <w:ilvl w:val="0"/>
          <w:numId w:val="0"/>
        </w:numPr>
        <w:kinsoku/>
        <w:wordWrap/>
        <w:overflowPunct/>
        <w:topLinePunct w:val="0"/>
        <w:autoSpaceDE/>
        <w:autoSpaceDN/>
        <w:bidi w:val="0"/>
        <w:adjustRightInd/>
        <w:snapToGrid w:val="0"/>
        <w:spacing w:line="400" w:lineRule="exact"/>
        <w:ind w:right="0" w:rightChars="0" w:firstLine="640" w:firstLineChars="200"/>
        <w:jc w:val="both"/>
        <w:textAlignment w:val="auto"/>
        <w:outlineLvl w:val="9"/>
        <w:rPr>
          <w:rFonts w:hint="eastAsia" w:ascii="仿宋" w:hAnsi="仿宋" w:eastAsia="仿宋" w:cs="仿宋"/>
          <w:color w:val="auto"/>
          <w:sz w:val="32"/>
          <w:szCs w:val="32"/>
          <w:highlight w:val="none"/>
        </w:rPr>
      </w:pP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挂牌地块的基本情况和规划指标要求</w:t>
      </w:r>
    </w:p>
    <w:tbl>
      <w:tblPr>
        <w:tblStyle w:val="3"/>
        <w:tblW w:w="8747" w:type="dxa"/>
        <w:tblInd w:w="-142" w:type="dxa"/>
        <w:tblLayout w:type="fixed"/>
        <w:tblCellMar>
          <w:top w:w="0" w:type="dxa"/>
          <w:left w:w="0" w:type="dxa"/>
          <w:bottom w:w="0" w:type="dxa"/>
          <w:right w:w="0" w:type="dxa"/>
        </w:tblCellMar>
      </w:tblPr>
      <w:tblGrid>
        <w:gridCol w:w="853"/>
        <w:gridCol w:w="888"/>
        <w:gridCol w:w="781"/>
        <w:gridCol w:w="771"/>
        <w:gridCol w:w="542"/>
        <w:gridCol w:w="925"/>
        <w:gridCol w:w="571"/>
        <w:gridCol w:w="751"/>
        <w:gridCol w:w="842"/>
        <w:gridCol w:w="642"/>
        <w:gridCol w:w="656"/>
        <w:gridCol w:w="525"/>
      </w:tblGrid>
      <w:tr>
        <w:tblPrEx>
          <w:tblCellMar>
            <w:top w:w="0" w:type="dxa"/>
            <w:left w:w="0" w:type="dxa"/>
            <w:bottom w:w="0" w:type="dxa"/>
            <w:right w:w="0" w:type="dxa"/>
          </w:tblCellMar>
        </w:tblPrEx>
        <w:trPr>
          <w:trHeight w:val="645" w:hRule="atLeast"/>
        </w:trPr>
        <w:tc>
          <w:tcPr>
            <w:tcW w:w="853"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val="0"/>
              <w:spacing w:line="400" w:lineRule="exact"/>
              <w:ind w:left="0" w:leftChars="0"/>
              <w:jc w:val="center"/>
              <w:outlineLvl w:val="9"/>
              <w:rPr>
                <w:rFonts w:hint="eastAsia" w:ascii="仿宋" w:hAnsi="仿宋" w:eastAsia="仿宋" w:cs="仿宋"/>
                <w:color w:val="auto"/>
                <w:sz w:val="15"/>
                <w:szCs w:val="15"/>
                <w:highlight w:val="none"/>
                <w:lang w:eastAsia="zh-CN"/>
              </w:rPr>
            </w:pPr>
            <w:r>
              <w:rPr>
                <w:rFonts w:hint="eastAsia" w:ascii="仿宋" w:hAnsi="仿宋" w:eastAsia="仿宋" w:cs="仿宋"/>
                <w:color w:val="auto"/>
                <w:sz w:val="15"/>
                <w:szCs w:val="15"/>
                <w:highlight w:val="none"/>
                <w:lang w:eastAsia="zh-CN"/>
              </w:rPr>
              <w:t>编号</w:t>
            </w:r>
          </w:p>
        </w:tc>
        <w:tc>
          <w:tcPr>
            <w:tcW w:w="88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val="0"/>
              <w:spacing w:line="400" w:lineRule="exact"/>
              <w:ind w:left="0"/>
              <w:jc w:val="center"/>
              <w:outlineLvl w:val="9"/>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rPr>
              <w:t>土地</w:t>
            </w:r>
          </w:p>
          <w:p>
            <w:pPr>
              <w:keepNext w:val="0"/>
              <w:keepLines w:val="0"/>
              <w:pageBreakBefore w:val="0"/>
              <w:kinsoku/>
              <w:wordWrap/>
              <w:overflowPunct/>
              <w:topLinePunct w:val="0"/>
              <w:autoSpaceDE/>
              <w:autoSpaceDN/>
              <w:bidi w:val="0"/>
              <w:adjustRightInd/>
              <w:snapToGrid w:val="0"/>
              <w:spacing w:line="400" w:lineRule="exact"/>
              <w:ind w:left="0" w:leftChars="0"/>
              <w:jc w:val="center"/>
              <w:outlineLvl w:val="9"/>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rPr>
              <w:t>位置</w:t>
            </w:r>
          </w:p>
        </w:tc>
        <w:tc>
          <w:tcPr>
            <w:tcW w:w="78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val="0"/>
              <w:spacing w:line="400" w:lineRule="exact"/>
              <w:ind w:left="0"/>
              <w:jc w:val="center"/>
              <w:outlineLvl w:val="9"/>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rPr>
              <w:t>土地面积</w:t>
            </w:r>
          </w:p>
          <w:p>
            <w:pPr>
              <w:keepNext w:val="0"/>
              <w:keepLines w:val="0"/>
              <w:pageBreakBefore w:val="0"/>
              <w:kinsoku/>
              <w:wordWrap/>
              <w:overflowPunct/>
              <w:topLinePunct w:val="0"/>
              <w:autoSpaceDE/>
              <w:autoSpaceDN/>
              <w:bidi w:val="0"/>
              <w:adjustRightInd/>
              <w:snapToGrid w:val="0"/>
              <w:spacing w:line="400" w:lineRule="exact"/>
              <w:ind w:left="0" w:leftChars="0"/>
              <w:jc w:val="center"/>
              <w:outlineLvl w:val="9"/>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rPr>
              <w:t>（平方米）</w:t>
            </w:r>
          </w:p>
        </w:tc>
        <w:tc>
          <w:tcPr>
            <w:tcW w:w="77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val="0"/>
              <w:spacing w:line="400" w:lineRule="exact"/>
              <w:ind w:left="0"/>
              <w:jc w:val="center"/>
              <w:outlineLvl w:val="9"/>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rPr>
              <w:t>土地</w:t>
            </w:r>
          </w:p>
          <w:p>
            <w:pPr>
              <w:keepNext w:val="0"/>
              <w:keepLines w:val="0"/>
              <w:pageBreakBefore w:val="0"/>
              <w:kinsoku/>
              <w:wordWrap/>
              <w:overflowPunct/>
              <w:topLinePunct w:val="0"/>
              <w:autoSpaceDE/>
              <w:autoSpaceDN/>
              <w:bidi w:val="0"/>
              <w:adjustRightInd/>
              <w:snapToGrid w:val="0"/>
              <w:spacing w:line="400" w:lineRule="exact"/>
              <w:ind w:left="0" w:leftChars="0"/>
              <w:jc w:val="center"/>
              <w:outlineLvl w:val="9"/>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rPr>
              <w:t>用途</w:t>
            </w:r>
          </w:p>
        </w:tc>
        <w:tc>
          <w:tcPr>
            <w:tcW w:w="363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val="0"/>
              <w:spacing w:line="400" w:lineRule="exact"/>
              <w:ind w:left="0" w:leftChars="0"/>
              <w:jc w:val="center"/>
              <w:outlineLvl w:val="9"/>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rPr>
              <w:t>规划指标要求</w:t>
            </w:r>
          </w:p>
        </w:tc>
        <w:tc>
          <w:tcPr>
            <w:tcW w:w="642"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val="0"/>
              <w:spacing w:line="400" w:lineRule="exact"/>
              <w:ind w:left="0" w:leftChars="0"/>
              <w:jc w:val="center"/>
              <w:outlineLvl w:val="9"/>
              <w:rPr>
                <w:rFonts w:hint="eastAsia" w:ascii="仿宋" w:hAnsi="仿宋" w:eastAsia="仿宋" w:cs="仿宋"/>
                <w:color w:val="auto"/>
                <w:sz w:val="15"/>
                <w:szCs w:val="15"/>
                <w:highlight w:val="none"/>
                <w:lang w:val="en-US" w:eastAsia="zh-CN"/>
              </w:rPr>
            </w:pPr>
            <w:r>
              <w:rPr>
                <w:rFonts w:hint="eastAsia" w:ascii="仿宋" w:hAnsi="仿宋" w:eastAsia="仿宋" w:cs="仿宋"/>
                <w:color w:val="auto"/>
                <w:sz w:val="15"/>
                <w:szCs w:val="15"/>
                <w:highlight w:val="none"/>
                <w:lang w:val="en-US" w:eastAsia="zh-CN"/>
              </w:rPr>
              <w:t>使用年期(年)</w:t>
            </w:r>
          </w:p>
        </w:tc>
        <w:tc>
          <w:tcPr>
            <w:tcW w:w="656"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val="0"/>
              <w:spacing w:line="400" w:lineRule="exact"/>
              <w:ind w:left="0"/>
              <w:jc w:val="center"/>
              <w:outlineLvl w:val="9"/>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rPr>
              <w:t>起始价</w:t>
            </w:r>
          </w:p>
          <w:p>
            <w:pPr>
              <w:keepNext w:val="0"/>
              <w:keepLines w:val="0"/>
              <w:pageBreakBefore w:val="0"/>
              <w:kinsoku/>
              <w:wordWrap/>
              <w:overflowPunct/>
              <w:topLinePunct w:val="0"/>
              <w:autoSpaceDE/>
              <w:autoSpaceDN/>
              <w:bidi w:val="0"/>
              <w:adjustRightInd/>
              <w:snapToGrid w:val="0"/>
              <w:spacing w:line="400" w:lineRule="exact"/>
              <w:ind w:left="0" w:leftChars="0"/>
              <w:jc w:val="center"/>
              <w:outlineLvl w:val="9"/>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rPr>
              <w:t>（万元）</w:t>
            </w:r>
          </w:p>
        </w:tc>
        <w:tc>
          <w:tcPr>
            <w:tcW w:w="525"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val="0"/>
              <w:spacing w:line="400" w:lineRule="exact"/>
              <w:ind w:left="0"/>
              <w:jc w:val="center"/>
              <w:outlineLvl w:val="9"/>
              <w:rPr>
                <w:rFonts w:hint="eastAsia" w:ascii="仿宋" w:hAnsi="仿宋" w:eastAsia="仿宋" w:cs="仿宋"/>
                <w:color w:val="auto"/>
                <w:sz w:val="15"/>
                <w:szCs w:val="15"/>
                <w:highlight w:val="none"/>
              </w:rPr>
            </w:pPr>
          </w:p>
          <w:p>
            <w:pPr>
              <w:keepNext w:val="0"/>
              <w:keepLines w:val="0"/>
              <w:pageBreakBefore w:val="0"/>
              <w:kinsoku/>
              <w:wordWrap/>
              <w:overflowPunct/>
              <w:topLinePunct w:val="0"/>
              <w:autoSpaceDE/>
              <w:autoSpaceDN/>
              <w:bidi w:val="0"/>
              <w:adjustRightInd/>
              <w:snapToGrid w:val="0"/>
              <w:spacing w:line="400" w:lineRule="exact"/>
              <w:jc w:val="both"/>
              <w:outlineLvl w:val="9"/>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rPr>
              <w:t>竞买保证金</w:t>
            </w:r>
          </w:p>
          <w:p>
            <w:pPr>
              <w:keepNext w:val="0"/>
              <w:keepLines w:val="0"/>
              <w:pageBreakBefore w:val="0"/>
              <w:kinsoku/>
              <w:wordWrap/>
              <w:overflowPunct/>
              <w:topLinePunct w:val="0"/>
              <w:autoSpaceDE/>
              <w:autoSpaceDN/>
              <w:bidi w:val="0"/>
              <w:adjustRightInd/>
              <w:snapToGrid w:val="0"/>
              <w:spacing w:line="400" w:lineRule="exact"/>
              <w:ind w:left="0" w:leftChars="0"/>
              <w:jc w:val="center"/>
              <w:outlineLvl w:val="9"/>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rPr>
              <w:t>（万元）</w:t>
            </w:r>
          </w:p>
        </w:tc>
      </w:tr>
      <w:tr>
        <w:tblPrEx>
          <w:tblCellMar>
            <w:top w:w="0" w:type="dxa"/>
            <w:left w:w="0" w:type="dxa"/>
            <w:bottom w:w="0" w:type="dxa"/>
            <w:right w:w="0" w:type="dxa"/>
          </w:tblCellMar>
        </w:tblPrEx>
        <w:trPr>
          <w:trHeight w:val="1115" w:hRule="atLeast"/>
        </w:trPr>
        <w:tc>
          <w:tcPr>
            <w:tcW w:w="853" w:type="dxa"/>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pacing w:line="400" w:lineRule="exact"/>
              <w:ind w:left="0" w:leftChars="0"/>
              <w:jc w:val="left"/>
              <w:outlineLvl w:val="9"/>
              <w:rPr>
                <w:rFonts w:hint="eastAsia" w:ascii="仿宋" w:hAnsi="仿宋" w:eastAsia="仿宋" w:cs="仿宋"/>
                <w:color w:val="auto"/>
                <w:sz w:val="15"/>
                <w:szCs w:val="15"/>
                <w:highlight w:val="none"/>
              </w:rPr>
            </w:pPr>
          </w:p>
        </w:tc>
        <w:tc>
          <w:tcPr>
            <w:tcW w:w="88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pacing w:line="400" w:lineRule="exact"/>
              <w:ind w:left="0" w:leftChars="0"/>
              <w:jc w:val="left"/>
              <w:outlineLvl w:val="9"/>
              <w:rPr>
                <w:rFonts w:hint="eastAsia" w:ascii="仿宋" w:hAnsi="仿宋" w:eastAsia="仿宋" w:cs="仿宋"/>
                <w:color w:val="auto"/>
                <w:sz w:val="15"/>
                <w:szCs w:val="15"/>
                <w:highlight w:val="none"/>
              </w:rPr>
            </w:pPr>
          </w:p>
        </w:tc>
        <w:tc>
          <w:tcPr>
            <w:tcW w:w="78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pacing w:line="400" w:lineRule="exact"/>
              <w:ind w:left="0" w:leftChars="0"/>
              <w:jc w:val="left"/>
              <w:outlineLvl w:val="9"/>
              <w:rPr>
                <w:rFonts w:hint="eastAsia" w:ascii="仿宋" w:hAnsi="仿宋" w:eastAsia="仿宋" w:cs="仿宋"/>
                <w:color w:val="auto"/>
                <w:sz w:val="15"/>
                <w:szCs w:val="15"/>
                <w:highlight w:val="none"/>
              </w:rPr>
            </w:pPr>
          </w:p>
        </w:tc>
        <w:tc>
          <w:tcPr>
            <w:tcW w:w="77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pacing w:line="400" w:lineRule="exact"/>
              <w:ind w:left="0" w:leftChars="0"/>
              <w:jc w:val="left"/>
              <w:outlineLvl w:val="9"/>
              <w:rPr>
                <w:rFonts w:hint="eastAsia" w:ascii="仿宋" w:hAnsi="仿宋" w:eastAsia="仿宋" w:cs="仿宋"/>
                <w:color w:val="auto"/>
                <w:sz w:val="15"/>
                <w:szCs w:val="15"/>
                <w:highlight w:val="none"/>
              </w:rPr>
            </w:pPr>
          </w:p>
        </w:tc>
        <w:tc>
          <w:tcPr>
            <w:tcW w:w="5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pacing w:line="400" w:lineRule="exact"/>
              <w:ind w:left="0" w:leftChars="0"/>
              <w:jc w:val="center"/>
              <w:outlineLvl w:val="9"/>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rPr>
              <w:t>容积率</w:t>
            </w:r>
          </w:p>
        </w:tc>
        <w:tc>
          <w:tcPr>
            <w:tcW w:w="9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pacing w:line="400" w:lineRule="exact"/>
              <w:ind w:left="0" w:leftChars="0"/>
              <w:jc w:val="center"/>
              <w:outlineLvl w:val="9"/>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rPr>
              <w:t>建筑密度</w:t>
            </w:r>
            <w:r>
              <w:rPr>
                <w:rFonts w:hint="eastAsia" w:ascii="仿宋" w:hAnsi="仿宋" w:eastAsia="仿宋" w:cs="仿宋"/>
                <w:color w:val="auto"/>
                <w:sz w:val="15"/>
                <w:szCs w:val="15"/>
                <w:highlight w:val="none"/>
              </w:rPr>
              <w:br w:type="textWrapping"/>
            </w:r>
            <w:r>
              <w:rPr>
                <w:rFonts w:hint="eastAsia" w:ascii="仿宋" w:hAnsi="仿宋" w:eastAsia="仿宋" w:cs="仿宋"/>
                <w:color w:val="auto"/>
                <w:sz w:val="15"/>
                <w:szCs w:val="15"/>
                <w:highlight w:val="none"/>
              </w:rPr>
              <w:t>（%）</w:t>
            </w:r>
          </w:p>
        </w:tc>
        <w:tc>
          <w:tcPr>
            <w:tcW w:w="5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pacing w:line="400" w:lineRule="exact"/>
              <w:ind w:left="0" w:leftChars="0"/>
              <w:jc w:val="center"/>
              <w:outlineLvl w:val="9"/>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rPr>
              <w:t>绿地率</w:t>
            </w:r>
            <w:r>
              <w:rPr>
                <w:rFonts w:hint="eastAsia" w:ascii="仿宋" w:hAnsi="仿宋" w:eastAsia="仿宋" w:cs="仿宋"/>
                <w:color w:val="auto"/>
                <w:sz w:val="15"/>
                <w:szCs w:val="15"/>
                <w:highlight w:val="none"/>
              </w:rPr>
              <w:br w:type="textWrapping"/>
            </w:r>
            <w:r>
              <w:rPr>
                <w:rFonts w:hint="eastAsia" w:ascii="仿宋" w:hAnsi="仿宋" w:eastAsia="仿宋" w:cs="仿宋"/>
                <w:color w:val="auto"/>
                <w:sz w:val="15"/>
                <w:szCs w:val="15"/>
                <w:highlight w:val="none"/>
              </w:rPr>
              <w:t>（%）</w:t>
            </w:r>
          </w:p>
        </w:tc>
        <w:tc>
          <w:tcPr>
            <w:tcW w:w="7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pacing w:line="400" w:lineRule="exact"/>
              <w:ind w:left="0" w:leftChars="0"/>
              <w:jc w:val="center"/>
              <w:outlineLvl w:val="9"/>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rPr>
              <w:t>建筑高度</w:t>
            </w:r>
            <w:r>
              <w:rPr>
                <w:rFonts w:hint="eastAsia" w:ascii="仿宋" w:hAnsi="仿宋" w:eastAsia="仿宋" w:cs="仿宋"/>
                <w:color w:val="auto"/>
                <w:sz w:val="15"/>
                <w:szCs w:val="15"/>
                <w:highlight w:val="none"/>
              </w:rPr>
              <w:br w:type="textWrapping"/>
            </w:r>
            <w:r>
              <w:rPr>
                <w:rFonts w:hint="eastAsia" w:ascii="仿宋" w:hAnsi="仿宋" w:eastAsia="仿宋" w:cs="仿宋"/>
                <w:color w:val="auto"/>
                <w:sz w:val="15"/>
                <w:szCs w:val="15"/>
                <w:highlight w:val="none"/>
              </w:rPr>
              <w:t>（米）</w:t>
            </w:r>
          </w:p>
        </w:tc>
        <w:tc>
          <w:tcPr>
            <w:tcW w:w="842" w:type="dxa"/>
            <w:tcBorders>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pacing w:line="400" w:lineRule="exact"/>
              <w:ind w:left="0" w:leftChars="0"/>
              <w:jc w:val="center"/>
              <w:outlineLvl w:val="9"/>
              <w:rPr>
                <w:rFonts w:hint="eastAsia" w:ascii="仿宋" w:hAnsi="仿宋" w:eastAsia="仿宋" w:cs="仿宋"/>
                <w:color w:val="auto"/>
                <w:sz w:val="15"/>
                <w:szCs w:val="15"/>
                <w:highlight w:val="none"/>
                <w:lang w:eastAsia="zh-CN"/>
              </w:rPr>
            </w:pPr>
            <w:r>
              <w:rPr>
                <w:rFonts w:hint="eastAsia" w:ascii="仿宋" w:hAnsi="仿宋" w:eastAsia="仿宋" w:cs="仿宋"/>
                <w:color w:val="auto"/>
                <w:sz w:val="15"/>
                <w:szCs w:val="15"/>
                <w:highlight w:val="none"/>
                <w:lang w:eastAsia="zh-CN"/>
              </w:rPr>
              <w:t>地下规划指标</w:t>
            </w:r>
          </w:p>
        </w:tc>
        <w:tc>
          <w:tcPr>
            <w:tcW w:w="642" w:type="dxa"/>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pacing w:line="400" w:lineRule="exact"/>
              <w:ind w:left="0" w:leftChars="0"/>
              <w:jc w:val="center"/>
              <w:outlineLvl w:val="9"/>
              <w:rPr>
                <w:rFonts w:hint="eastAsia" w:ascii="仿宋" w:hAnsi="仿宋" w:eastAsia="仿宋" w:cs="仿宋"/>
                <w:color w:val="auto"/>
                <w:sz w:val="15"/>
                <w:szCs w:val="15"/>
                <w:highlight w:val="none"/>
              </w:rPr>
            </w:pPr>
          </w:p>
        </w:tc>
        <w:tc>
          <w:tcPr>
            <w:tcW w:w="656" w:type="dxa"/>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pacing w:line="400" w:lineRule="exact"/>
              <w:ind w:left="0" w:leftChars="0"/>
              <w:jc w:val="center"/>
              <w:outlineLvl w:val="9"/>
              <w:rPr>
                <w:rFonts w:hint="eastAsia" w:ascii="仿宋" w:hAnsi="仿宋" w:eastAsia="仿宋" w:cs="仿宋"/>
                <w:color w:val="auto"/>
                <w:sz w:val="15"/>
                <w:szCs w:val="15"/>
                <w:highlight w:val="none"/>
              </w:rPr>
            </w:pPr>
          </w:p>
        </w:tc>
        <w:tc>
          <w:tcPr>
            <w:tcW w:w="525"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pacing w:line="400" w:lineRule="exact"/>
              <w:ind w:left="0" w:leftChars="0"/>
              <w:jc w:val="center"/>
              <w:outlineLvl w:val="9"/>
              <w:rPr>
                <w:rFonts w:hint="eastAsia" w:ascii="仿宋" w:hAnsi="仿宋" w:eastAsia="仿宋" w:cs="仿宋"/>
                <w:color w:val="auto"/>
                <w:sz w:val="15"/>
                <w:szCs w:val="15"/>
                <w:highlight w:val="none"/>
              </w:rPr>
            </w:pPr>
          </w:p>
        </w:tc>
      </w:tr>
      <w:tr>
        <w:tblPrEx>
          <w:tblCellMar>
            <w:top w:w="0" w:type="dxa"/>
            <w:left w:w="0" w:type="dxa"/>
            <w:bottom w:w="0" w:type="dxa"/>
            <w:right w:w="0" w:type="dxa"/>
          </w:tblCellMar>
        </w:tblPrEx>
        <w:trPr>
          <w:trHeight w:val="1535"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jc w:val="center"/>
              <w:textAlignment w:val="center"/>
              <w:outlineLvl w:val="9"/>
              <w:rPr>
                <w:rFonts w:hint="eastAsia" w:ascii="仿宋" w:hAnsi="仿宋" w:eastAsia="仿宋" w:cs="仿宋"/>
                <w:color w:val="auto"/>
                <w:sz w:val="13"/>
                <w:szCs w:val="13"/>
                <w:highlight w:val="none"/>
                <w:u w:val="none"/>
                <w:lang w:val="en-US" w:eastAsia="zh-CN"/>
              </w:rPr>
            </w:pPr>
            <w:r>
              <w:rPr>
                <w:rFonts w:hint="eastAsia" w:ascii="仿宋" w:hAnsi="仿宋" w:eastAsia="仿宋" w:cs="仿宋"/>
                <w:color w:val="auto"/>
                <w:sz w:val="13"/>
                <w:szCs w:val="13"/>
                <w:highlight w:val="none"/>
                <w:u w:val="none"/>
                <w:lang w:val="en-US" w:eastAsia="zh-CN"/>
              </w:rPr>
              <w:t>郑港出〔2024〕116号（网）</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jc w:val="center"/>
              <w:textAlignment w:val="center"/>
              <w:outlineLvl w:val="9"/>
              <w:rPr>
                <w:rFonts w:hint="eastAsia" w:ascii="仿宋" w:hAnsi="仿宋" w:eastAsia="仿宋" w:cs="仿宋"/>
                <w:color w:val="auto"/>
                <w:sz w:val="13"/>
                <w:szCs w:val="13"/>
                <w:highlight w:val="none"/>
                <w:u w:val="none"/>
                <w:lang w:val="en-US" w:eastAsia="zh-CN"/>
              </w:rPr>
            </w:pPr>
            <w:r>
              <w:rPr>
                <w:rFonts w:hint="eastAsia" w:ascii="仿宋" w:hAnsi="仿宋" w:eastAsia="仿宋" w:cs="仿宋"/>
                <w:color w:val="auto"/>
                <w:sz w:val="13"/>
                <w:szCs w:val="13"/>
                <w:highlight w:val="none"/>
                <w:u w:val="none"/>
                <w:lang w:val="en-US" w:eastAsia="zh-CN"/>
              </w:rPr>
              <w:t>鸿泽路以北、竹贤西街以东</w:t>
            </w:r>
          </w:p>
        </w:tc>
        <w:tc>
          <w:tcPr>
            <w:tcW w:w="78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jc w:val="center"/>
              <w:textAlignment w:val="center"/>
              <w:outlineLvl w:val="9"/>
              <w:rPr>
                <w:rFonts w:hint="default" w:ascii="仿宋" w:hAnsi="仿宋" w:eastAsia="仿宋" w:cs="仿宋"/>
                <w:color w:val="auto"/>
                <w:sz w:val="13"/>
                <w:szCs w:val="13"/>
                <w:highlight w:val="none"/>
                <w:u w:val="none"/>
                <w:lang w:val="en-US" w:eastAsia="zh-CN"/>
              </w:rPr>
            </w:pPr>
            <w:r>
              <w:rPr>
                <w:rFonts w:hint="eastAsia" w:ascii="仿宋" w:hAnsi="仿宋" w:eastAsia="仿宋" w:cs="仿宋"/>
                <w:color w:val="auto"/>
                <w:sz w:val="13"/>
                <w:szCs w:val="13"/>
                <w:highlight w:val="none"/>
                <w:u w:val="none"/>
                <w:lang w:val="en-US" w:eastAsia="zh-CN"/>
              </w:rPr>
              <w:t>4668.26</w:t>
            </w:r>
          </w:p>
        </w:tc>
        <w:tc>
          <w:tcPr>
            <w:tcW w:w="7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jc w:val="center"/>
              <w:textAlignment w:val="center"/>
              <w:outlineLvl w:val="9"/>
              <w:rPr>
                <w:rFonts w:hint="eastAsia" w:ascii="仿宋" w:hAnsi="仿宋" w:eastAsia="仿宋" w:cs="仿宋"/>
                <w:color w:val="auto"/>
                <w:sz w:val="13"/>
                <w:szCs w:val="13"/>
                <w:highlight w:val="none"/>
                <w:u w:val="none"/>
                <w:lang w:val="en-US" w:eastAsia="zh-CN"/>
              </w:rPr>
            </w:pPr>
            <w:r>
              <w:rPr>
                <w:rFonts w:hint="eastAsia" w:ascii="仿宋" w:hAnsi="仿宋" w:eastAsia="仿宋" w:cs="仿宋"/>
                <w:color w:val="auto"/>
                <w:sz w:val="13"/>
                <w:szCs w:val="13"/>
                <w:highlight w:val="none"/>
                <w:u w:val="none"/>
                <w:lang w:val="en-US" w:eastAsia="zh-CN"/>
              </w:rPr>
              <w:t>公用设施营业网点（加油加气站）用地</w:t>
            </w:r>
          </w:p>
        </w:tc>
        <w:tc>
          <w:tcPr>
            <w:tcW w:w="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jc w:val="center"/>
              <w:textAlignment w:val="center"/>
              <w:outlineLvl w:val="9"/>
              <w:rPr>
                <w:rFonts w:hint="default" w:ascii="仿宋" w:hAnsi="仿宋" w:eastAsia="仿宋" w:cs="仿宋"/>
                <w:color w:val="auto"/>
                <w:sz w:val="13"/>
                <w:szCs w:val="13"/>
                <w:highlight w:val="none"/>
                <w:u w:val="none"/>
                <w:lang w:val="en-US" w:eastAsia="zh-CN"/>
              </w:rPr>
            </w:pPr>
            <w:r>
              <w:rPr>
                <w:rFonts w:hint="eastAsia" w:ascii="仿宋" w:hAnsi="仿宋" w:eastAsia="仿宋" w:cs="仿宋"/>
                <w:color w:val="auto"/>
                <w:sz w:val="13"/>
                <w:szCs w:val="13"/>
                <w:highlight w:val="none"/>
                <w:u w:val="none"/>
                <w:lang w:val="en-US" w:eastAsia="zh-CN"/>
              </w:rPr>
              <w:t>＜0.5</w:t>
            </w:r>
          </w:p>
        </w:tc>
        <w:tc>
          <w:tcPr>
            <w:tcW w:w="9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jc w:val="center"/>
              <w:textAlignment w:val="center"/>
              <w:outlineLvl w:val="9"/>
              <w:rPr>
                <w:rFonts w:hint="default" w:ascii="仿宋" w:hAnsi="仿宋" w:eastAsia="仿宋" w:cs="仿宋"/>
                <w:color w:val="auto"/>
                <w:sz w:val="13"/>
                <w:szCs w:val="13"/>
                <w:highlight w:val="none"/>
                <w:u w:val="none"/>
                <w:lang w:val="en-US" w:eastAsia="zh-CN"/>
              </w:rPr>
            </w:pPr>
            <w:r>
              <w:rPr>
                <w:rFonts w:hint="eastAsia" w:ascii="仿宋" w:hAnsi="仿宋" w:eastAsia="仿宋" w:cs="仿宋"/>
                <w:color w:val="auto"/>
                <w:sz w:val="13"/>
                <w:szCs w:val="13"/>
                <w:highlight w:val="none"/>
                <w:u w:val="none"/>
                <w:lang w:val="en-US" w:eastAsia="zh-CN"/>
              </w:rPr>
              <w:t>＜45</w:t>
            </w:r>
          </w:p>
        </w:tc>
        <w:tc>
          <w:tcPr>
            <w:tcW w:w="57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jc w:val="center"/>
              <w:textAlignment w:val="center"/>
              <w:outlineLvl w:val="9"/>
              <w:rPr>
                <w:rFonts w:hint="default" w:ascii="仿宋" w:hAnsi="仿宋" w:eastAsia="仿宋" w:cs="仿宋"/>
                <w:color w:val="auto"/>
                <w:sz w:val="13"/>
                <w:szCs w:val="13"/>
                <w:highlight w:val="none"/>
                <w:u w:val="none"/>
                <w:lang w:val="en-US" w:eastAsia="zh-CN"/>
              </w:rPr>
            </w:pPr>
            <w:r>
              <w:rPr>
                <w:rFonts w:hint="eastAsia" w:ascii="仿宋" w:hAnsi="仿宋" w:eastAsia="仿宋" w:cs="仿宋"/>
                <w:color w:val="auto"/>
                <w:sz w:val="13"/>
                <w:szCs w:val="13"/>
                <w:highlight w:val="none"/>
                <w:u w:val="none"/>
                <w:lang w:val="en-US" w:eastAsia="zh-CN"/>
              </w:rPr>
              <w:t>＞25</w:t>
            </w:r>
          </w:p>
        </w:tc>
        <w:tc>
          <w:tcPr>
            <w:tcW w:w="7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jc w:val="center"/>
              <w:textAlignment w:val="center"/>
              <w:outlineLvl w:val="9"/>
              <w:rPr>
                <w:rFonts w:hint="default" w:ascii="仿宋" w:hAnsi="仿宋" w:eastAsia="仿宋" w:cs="仿宋"/>
                <w:color w:val="auto"/>
                <w:sz w:val="13"/>
                <w:szCs w:val="13"/>
                <w:highlight w:val="none"/>
                <w:u w:val="none"/>
                <w:lang w:val="en-US" w:eastAsia="zh-CN"/>
              </w:rPr>
            </w:pPr>
            <w:r>
              <w:rPr>
                <w:rFonts w:hint="eastAsia" w:ascii="仿宋" w:hAnsi="仿宋" w:eastAsia="仿宋" w:cs="仿宋"/>
                <w:color w:val="auto"/>
                <w:sz w:val="13"/>
                <w:szCs w:val="13"/>
                <w:highlight w:val="none"/>
                <w:u w:val="none"/>
                <w:lang w:val="en-US" w:eastAsia="zh-CN"/>
              </w:rPr>
              <w:t>＜15</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jc w:val="center"/>
              <w:textAlignment w:val="center"/>
              <w:outlineLvl w:val="9"/>
              <w:rPr>
                <w:rFonts w:hint="eastAsia" w:ascii="仿宋" w:hAnsi="仿宋" w:eastAsia="仿宋" w:cs="仿宋"/>
                <w:color w:val="auto"/>
                <w:sz w:val="13"/>
                <w:szCs w:val="13"/>
                <w:highlight w:val="none"/>
                <w:u w:val="none"/>
                <w:lang w:val="en-US" w:eastAsia="zh-CN"/>
              </w:rPr>
            </w:pPr>
            <w:r>
              <w:rPr>
                <w:rFonts w:hint="eastAsia" w:ascii="仿宋" w:hAnsi="仿宋" w:eastAsia="仿宋" w:cs="仿宋"/>
                <w:color w:val="auto"/>
                <w:sz w:val="13"/>
                <w:szCs w:val="13"/>
                <w:highlight w:val="none"/>
                <w:u w:val="none"/>
                <w:lang w:val="en-US" w:eastAsia="zh-CN"/>
              </w:rPr>
              <w:t>/</w:t>
            </w:r>
          </w:p>
        </w:tc>
        <w:tc>
          <w:tcPr>
            <w:tcW w:w="64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jc w:val="center"/>
              <w:textAlignment w:val="center"/>
              <w:outlineLvl w:val="9"/>
              <w:rPr>
                <w:rFonts w:hint="default" w:ascii="仿宋" w:hAnsi="仿宋" w:eastAsia="仿宋" w:cs="仿宋"/>
                <w:color w:val="auto"/>
                <w:sz w:val="13"/>
                <w:szCs w:val="13"/>
                <w:highlight w:val="none"/>
                <w:u w:val="none"/>
                <w:lang w:val="en-US" w:eastAsia="zh-CN"/>
              </w:rPr>
            </w:pPr>
            <w:r>
              <w:rPr>
                <w:rFonts w:hint="eastAsia" w:ascii="仿宋" w:hAnsi="仿宋" w:eastAsia="仿宋" w:cs="仿宋"/>
                <w:color w:val="auto"/>
                <w:sz w:val="13"/>
                <w:szCs w:val="13"/>
                <w:highlight w:val="none"/>
                <w:u w:val="none"/>
                <w:lang w:val="en-US" w:eastAsia="zh-CN"/>
              </w:rPr>
              <w:t>40</w:t>
            </w:r>
          </w:p>
        </w:tc>
        <w:tc>
          <w:tcPr>
            <w:tcW w:w="65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jc w:val="center"/>
              <w:textAlignment w:val="center"/>
              <w:outlineLvl w:val="9"/>
              <w:rPr>
                <w:rFonts w:hint="default" w:ascii="仿宋" w:hAnsi="仿宋" w:eastAsia="仿宋" w:cs="仿宋"/>
                <w:color w:val="auto"/>
                <w:sz w:val="13"/>
                <w:szCs w:val="13"/>
                <w:highlight w:val="none"/>
                <w:u w:val="none"/>
                <w:lang w:val="en-US" w:eastAsia="zh-CN"/>
              </w:rPr>
            </w:pPr>
            <w:r>
              <w:rPr>
                <w:rFonts w:hint="eastAsia" w:ascii="仿宋" w:hAnsi="仿宋" w:eastAsia="仿宋" w:cs="仿宋"/>
                <w:color w:val="auto"/>
                <w:sz w:val="13"/>
                <w:szCs w:val="13"/>
                <w:highlight w:val="none"/>
                <w:u w:val="none"/>
                <w:lang w:val="en-US" w:eastAsia="zh-CN"/>
              </w:rPr>
              <w:t>3502</w:t>
            </w:r>
          </w:p>
        </w:tc>
        <w:tc>
          <w:tcPr>
            <w:tcW w:w="5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jc w:val="center"/>
              <w:textAlignment w:val="center"/>
              <w:outlineLvl w:val="9"/>
              <w:rPr>
                <w:rFonts w:hint="default" w:ascii="仿宋" w:hAnsi="仿宋" w:eastAsia="仿宋" w:cs="仿宋"/>
                <w:color w:val="auto"/>
                <w:sz w:val="13"/>
                <w:szCs w:val="13"/>
                <w:highlight w:val="none"/>
                <w:u w:val="none"/>
                <w:lang w:val="en-US" w:eastAsia="zh-CN"/>
              </w:rPr>
            </w:pPr>
            <w:r>
              <w:rPr>
                <w:rFonts w:hint="eastAsia" w:ascii="仿宋" w:hAnsi="仿宋" w:eastAsia="仿宋" w:cs="仿宋"/>
                <w:color w:val="auto"/>
                <w:sz w:val="13"/>
                <w:szCs w:val="13"/>
                <w:highlight w:val="none"/>
                <w:u w:val="none"/>
                <w:lang w:val="en-US" w:eastAsia="zh-CN"/>
              </w:rPr>
              <w:t>3502</w:t>
            </w:r>
          </w:p>
        </w:tc>
      </w:tr>
    </w:tbl>
    <w:p>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right="0" w:rightChars="0" w:firstLine="640" w:firstLineChars="200"/>
        <w:textAlignment w:val="auto"/>
        <w:outlineLvl w:val="9"/>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二</w:t>
      </w:r>
      <w:r>
        <w:rPr>
          <w:rFonts w:hint="eastAsia" w:ascii="仿宋_GB2312" w:hAnsi="仿宋_GB2312" w:eastAsia="仿宋_GB2312" w:cs="仿宋_GB2312"/>
          <w:color w:val="auto"/>
          <w:sz w:val="32"/>
          <w:szCs w:val="32"/>
          <w:highlight w:val="none"/>
          <w:lang w:eastAsia="zh-CN"/>
        </w:rPr>
        <w:t>、本次出让地块</w:t>
      </w:r>
      <w:r>
        <w:rPr>
          <w:rFonts w:hint="eastAsia" w:ascii="仿宋_GB2312" w:hAnsi="仿宋_GB2312" w:eastAsia="仿宋_GB2312" w:cs="仿宋_GB2312"/>
          <w:color w:val="auto"/>
          <w:sz w:val="32"/>
          <w:szCs w:val="32"/>
          <w:highlight w:val="none"/>
        </w:rPr>
        <w:t>中华人民共和国境内外的法人、自然人和其他组织均可申请参加</w:t>
      </w:r>
      <w:r>
        <w:rPr>
          <w:rFonts w:hint="eastAsia" w:ascii="仿宋_GB2312" w:hAnsi="仿宋_GB2312" w:eastAsia="仿宋_GB2312" w:cs="仿宋_GB2312"/>
          <w:color w:val="auto"/>
          <w:sz w:val="32"/>
          <w:szCs w:val="32"/>
          <w:highlight w:val="none"/>
          <w:lang w:eastAsia="zh-CN"/>
        </w:rPr>
        <w:t>竞买</w:t>
      </w:r>
      <w:r>
        <w:rPr>
          <w:rFonts w:hint="eastAsia" w:ascii="仿宋_GB2312" w:hAnsi="仿宋_GB2312" w:eastAsia="仿宋_GB2312" w:cs="仿宋_GB2312"/>
          <w:color w:val="auto"/>
          <w:sz w:val="32"/>
          <w:szCs w:val="32"/>
          <w:highlight w:val="none"/>
        </w:rPr>
        <w:t>，申请人可以单独申请，也可以联合申请。</w:t>
      </w:r>
    </w:p>
    <w:p>
      <w:pPr>
        <w:keepNext w:val="0"/>
        <w:keepLines w:val="0"/>
        <w:pageBreakBefore w:val="0"/>
        <w:widowControl/>
        <w:kinsoku/>
        <w:wordWrap/>
        <w:overflowPunct/>
        <w:topLinePunct w:val="0"/>
        <w:autoSpaceDE/>
        <w:autoSpaceDN/>
        <w:bidi w:val="0"/>
        <w:adjustRightInd/>
        <w:snapToGrid w:val="0"/>
        <w:spacing w:line="480" w:lineRule="exact"/>
        <w:ind w:left="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三、本次出让地块采取无底价网上挂牌方式出让，最高价格的出价人即为竞得人。</w:t>
      </w:r>
    </w:p>
    <w:p>
      <w:pPr>
        <w:keepNext w:val="0"/>
        <w:keepLines w:val="0"/>
        <w:pageBreakBefore w:val="0"/>
        <w:widowControl w:val="0"/>
        <w:kinsoku/>
        <w:wordWrap/>
        <w:overflowPunct/>
        <w:topLinePunct w:val="0"/>
        <w:autoSpaceDE/>
        <w:autoSpaceDN/>
        <w:bidi w:val="0"/>
        <w:adjustRightInd/>
        <w:spacing w:line="480" w:lineRule="exact"/>
        <w:ind w:right="0" w:righ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四、申请人需在</w:t>
      </w:r>
      <w:r>
        <w:rPr>
          <w:rFonts w:hint="eastAsia" w:ascii="仿宋_GB2312" w:hAnsi="仿宋_GB2312" w:eastAsia="仿宋_GB2312" w:cs="仿宋_GB2312"/>
          <w:color w:val="auto"/>
          <w:sz w:val="32"/>
          <w:szCs w:val="32"/>
          <w:highlight w:val="none"/>
          <w:lang w:val="en-US" w:eastAsia="zh-CN"/>
        </w:rPr>
        <w:t>2024年12月13日至2025年1月9日</w:t>
      </w:r>
      <w:r>
        <w:rPr>
          <w:rFonts w:hint="eastAsia" w:ascii="仿宋_GB2312" w:hAnsi="仿宋_GB2312" w:eastAsia="仿宋_GB2312" w:cs="仿宋_GB2312"/>
          <w:color w:val="auto"/>
          <w:sz w:val="32"/>
          <w:szCs w:val="32"/>
          <w:lang w:val="en-US" w:eastAsia="zh-CN"/>
        </w:rPr>
        <w:t>期间办理数字证书认证手续（流程详见郑州航空港经济综合实验区（郑州新郑综合保税区）公共资源交易中心官网http://www.zzhkgggzy.cn/“公共服务一办事指南”窗口），登陆郑州航空港经济综合实验区（郑州新郑综合保税区）公共资源交易中心电子招投标交易平台（官网点击“</w:t>
      </w:r>
      <w:r>
        <w:rPr>
          <w:rFonts w:hint="eastAsia" w:ascii="仿宋_GB2312" w:hAnsi="仿宋_GB2312" w:eastAsia="仿宋_GB2312" w:cs="仿宋_GB2312"/>
          <w:color w:val="000000"/>
          <w:sz w:val="32"/>
          <w:szCs w:val="32"/>
        </w:rPr>
        <w:t>交易</w:t>
      </w:r>
      <w:r>
        <w:rPr>
          <w:rFonts w:hint="eastAsia" w:ascii="仿宋_GB2312" w:hAnsi="仿宋_GB2312" w:eastAsia="仿宋_GB2312" w:cs="仿宋_GB2312"/>
          <w:color w:val="auto"/>
          <w:sz w:val="32"/>
          <w:szCs w:val="32"/>
          <w:lang w:val="en-US" w:eastAsia="zh-CN"/>
        </w:rPr>
        <w:t>主体登录”），浏览公告并下载挂牌须知。</w:t>
      </w:r>
    </w:p>
    <w:p>
      <w:pPr>
        <w:keepNext w:val="0"/>
        <w:keepLines w:val="0"/>
        <w:pageBreakBefore w:val="0"/>
        <w:widowControl w:val="0"/>
        <w:kinsoku/>
        <w:wordWrap/>
        <w:overflowPunct/>
        <w:topLinePunct w:val="0"/>
        <w:autoSpaceDE/>
        <w:autoSpaceDN/>
        <w:bidi w:val="0"/>
        <w:adjustRightInd/>
        <w:spacing w:line="480" w:lineRule="exact"/>
        <w:ind w:right="0" w:righ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申请人按规定交纳竞买保证金，具备申请条件的，将在2025</w:t>
      </w:r>
      <w:bookmarkStart w:id="0" w:name="_GoBack"/>
      <w:bookmarkEnd w:id="0"/>
      <w:r>
        <w:rPr>
          <w:rFonts w:hint="eastAsia" w:ascii="仿宋_GB2312" w:hAnsi="仿宋_GB2312" w:eastAsia="仿宋_GB2312" w:cs="仿宋_GB2312"/>
          <w:color w:val="auto"/>
          <w:sz w:val="32"/>
          <w:szCs w:val="32"/>
          <w:lang w:val="en-US" w:eastAsia="zh-CN"/>
        </w:rPr>
        <w:t>年</w:t>
      </w:r>
      <w:r>
        <w:rPr>
          <w:rFonts w:hint="eastAsia" w:ascii="仿宋_GB2312" w:hAnsi="仿宋_GB2312" w:eastAsia="仿宋_GB2312" w:cs="仿宋_GB2312"/>
          <w:color w:val="auto"/>
          <w:sz w:val="32"/>
          <w:szCs w:val="32"/>
          <w:highlight w:val="none"/>
          <w:lang w:val="en-US" w:eastAsia="zh-CN"/>
        </w:rPr>
        <w:t>1月9</w:t>
      </w:r>
      <w:r>
        <w:rPr>
          <w:rFonts w:hint="eastAsia" w:ascii="仿宋_GB2312" w:hAnsi="仿宋_GB2312" w:eastAsia="仿宋_GB2312" w:cs="仿宋_GB2312"/>
          <w:color w:val="auto"/>
          <w:sz w:val="32"/>
          <w:szCs w:val="32"/>
          <w:lang w:val="en-US" w:eastAsia="zh-CN"/>
        </w:rPr>
        <w:t>日17时前确定其竞买资格。</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highlight w:val="none"/>
          <w:lang w:val="en-US" w:eastAsia="zh-CN"/>
        </w:rPr>
        <w:t>五、</w:t>
      </w:r>
      <w:r>
        <w:rPr>
          <w:rFonts w:hint="eastAsia" w:ascii="仿宋_GB2312" w:hAnsi="仿宋_GB2312" w:eastAsia="仿宋_GB2312" w:cs="仿宋_GB2312"/>
          <w:color w:val="auto"/>
          <w:sz w:val="32"/>
          <w:szCs w:val="32"/>
          <w:lang w:val="en-US" w:eastAsia="zh-CN"/>
        </w:rPr>
        <w:t>本次国有建设用地使用权公告时间为</w:t>
      </w:r>
      <w:r>
        <w:rPr>
          <w:rFonts w:hint="eastAsia" w:ascii="仿宋_GB2312" w:hAnsi="仿宋_GB2312" w:eastAsia="仿宋_GB2312" w:cs="仿宋_GB2312"/>
          <w:color w:val="auto"/>
          <w:sz w:val="32"/>
          <w:szCs w:val="32"/>
          <w:highlight w:val="none"/>
          <w:lang w:val="en-US" w:eastAsia="zh-CN"/>
        </w:rPr>
        <w:t>2024年12月13日至2025年1月1日</w:t>
      </w:r>
      <w:r>
        <w:rPr>
          <w:rFonts w:hint="eastAsia" w:ascii="仿宋_GB2312" w:hAnsi="仿宋_GB2312" w:eastAsia="仿宋_GB2312" w:cs="仿宋_GB2312"/>
          <w:color w:val="auto"/>
          <w:sz w:val="32"/>
          <w:szCs w:val="32"/>
          <w:lang w:val="en-US" w:eastAsia="zh-CN"/>
        </w:rPr>
        <w:t>，网上挂牌时间为</w:t>
      </w:r>
      <w:r>
        <w:rPr>
          <w:rFonts w:hint="eastAsia" w:ascii="仿宋_GB2312" w:hAnsi="仿宋_GB2312" w:eastAsia="仿宋_GB2312" w:cs="仿宋_GB2312"/>
          <w:color w:val="auto"/>
          <w:sz w:val="32"/>
          <w:szCs w:val="32"/>
          <w:highlight w:val="none"/>
          <w:lang w:val="en-US" w:eastAsia="zh-CN"/>
        </w:rPr>
        <w:t>2025年1月2日至2025年1月13日</w:t>
      </w:r>
      <w:r>
        <w:rPr>
          <w:rFonts w:hint="eastAsia" w:ascii="仿宋_GB2312" w:hAnsi="仿宋_GB2312" w:eastAsia="仿宋_GB2312" w:cs="仿宋_GB2312"/>
          <w:color w:val="auto"/>
          <w:sz w:val="32"/>
          <w:szCs w:val="32"/>
          <w:lang w:val="en-US" w:eastAsia="zh-CN"/>
        </w:rPr>
        <w:t>，挂牌截止时间具体为：2025年1月13日09时00分。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right="0" w:rightChars="0" w:firstLine="640" w:firstLineChars="2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sz w:val="32"/>
          <w:szCs w:val="32"/>
        </w:rPr>
        <w:t>竞得人持《网上竞得证明》及相关资料于</w:t>
      </w:r>
      <w:r>
        <w:rPr>
          <w:rFonts w:hint="eastAsia" w:ascii="仿宋_GB2312" w:hAnsi="仿宋_GB2312" w:eastAsia="仿宋_GB2312" w:cs="仿宋_GB2312"/>
          <w:b w:val="0"/>
          <w:bCs w:val="0"/>
          <w:sz w:val="32"/>
          <w:szCs w:val="32"/>
          <w:lang w:val="en-US" w:eastAsia="zh-CN"/>
        </w:rPr>
        <w:t>有效</w:t>
      </w:r>
      <w:r>
        <w:rPr>
          <w:rFonts w:hint="eastAsia" w:ascii="仿宋_GB2312" w:hAnsi="仿宋_GB2312" w:eastAsia="仿宋_GB2312" w:cs="仿宋_GB2312"/>
          <w:b w:val="0"/>
          <w:bCs w:val="0"/>
          <w:sz w:val="32"/>
          <w:szCs w:val="32"/>
          <w:lang w:eastAsia="zh-CN"/>
        </w:rPr>
        <w:t>时间</w:t>
      </w:r>
      <w:r>
        <w:rPr>
          <w:rFonts w:hint="eastAsia" w:ascii="仿宋_GB2312" w:hAnsi="仿宋_GB2312" w:eastAsia="仿宋_GB2312" w:cs="仿宋_GB2312"/>
          <w:b w:val="0"/>
          <w:bCs w:val="0"/>
          <w:sz w:val="32"/>
          <w:szCs w:val="32"/>
        </w:rPr>
        <w:t>内</w:t>
      </w:r>
      <w:r>
        <w:rPr>
          <w:rFonts w:hint="eastAsia" w:ascii="仿宋_GB2312" w:hAnsi="仿宋_GB2312" w:eastAsia="仿宋_GB2312" w:cs="仿宋_GB2312"/>
          <w:b w:val="0"/>
          <w:bCs w:val="0"/>
          <w:sz w:val="32"/>
          <w:szCs w:val="32"/>
          <w:lang w:eastAsia="zh-CN"/>
        </w:rPr>
        <w:t>（见挂牌须知）</w:t>
      </w:r>
      <w:r>
        <w:rPr>
          <w:rFonts w:hint="eastAsia" w:ascii="仿宋_GB2312" w:hAnsi="仿宋_GB2312" w:eastAsia="仿宋_GB2312" w:cs="仿宋_GB2312"/>
          <w:b w:val="0"/>
          <w:bCs w:val="0"/>
          <w:sz w:val="32"/>
          <w:szCs w:val="32"/>
        </w:rPr>
        <w:t>提交至</w:t>
      </w:r>
      <w:r>
        <w:rPr>
          <w:rFonts w:hint="eastAsia" w:ascii="仿宋_GB2312" w:hAnsi="仿宋_GB2312" w:eastAsia="仿宋_GB2312" w:cs="仿宋_GB2312"/>
          <w:color w:val="auto"/>
          <w:spacing w:val="20"/>
          <w:kern w:val="0"/>
          <w:sz w:val="32"/>
          <w:szCs w:val="32"/>
        </w:rPr>
        <w:t>郑州航空港经济综合实验区</w:t>
      </w:r>
      <w:r>
        <w:rPr>
          <w:rFonts w:hint="eastAsia" w:ascii="仿宋_GB2312" w:hAnsi="仿宋_GB2312" w:eastAsia="仿宋_GB2312" w:cs="仿宋_GB2312"/>
          <w:color w:val="auto"/>
          <w:spacing w:val="20"/>
          <w:kern w:val="0"/>
          <w:sz w:val="32"/>
          <w:szCs w:val="32"/>
          <w:lang w:eastAsia="zh-CN"/>
        </w:rPr>
        <w:t>自然资源和规划</w:t>
      </w:r>
      <w:r>
        <w:rPr>
          <w:rFonts w:hint="eastAsia" w:ascii="仿宋_GB2312" w:hAnsi="仿宋_GB2312" w:eastAsia="仿宋_GB2312" w:cs="仿宋_GB2312"/>
          <w:color w:val="auto"/>
          <w:spacing w:val="20"/>
          <w:kern w:val="0"/>
          <w:sz w:val="32"/>
          <w:szCs w:val="32"/>
        </w:rPr>
        <w:t>局</w:t>
      </w:r>
      <w:r>
        <w:rPr>
          <w:rFonts w:hint="eastAsia" w:ascii="仿宋_GB2312" w:hAnsi="仿宋_GB2312" w:eastAsia="仿宋_GB2312" w:cs="仿宋_GB2312"/>
          <w:b w:val="0"/>
          <w:bCs w:val="0"/>
          <w:sz w:val="32"/>
          <w:szCs w:val="32"/>
        </w:rPr>
        <w:t>进行后置审核，</w:t>
      </w:r>
      <w:r>
        <w:rPr>
          <w:rFonts w:hint="eastAsia" w:ascii="仿宋_GB2312" w:hAnsi="仿宋_GB2312" w:eastAsia="仿宋_GB2312" w:cs="仿宋_GB2312"/>
          <w:sz w:val="32"/>
          <w:szCs w:val="32"/>
        </w:rPr>
        <w:t>通过审核后，签订《成交确认书》。</w:t>
      </w:r>
    </w:p>
    <w:p>
      <w:pPr>
        <w:keepNext w:val="0"/>
        <w:keepLines w:val="0"/>
        <w:pageBreakBefore w:val="0"/>
        <w:kinsoku/>
        <w:wordWrap/>
        <w:overflowPunct/>
        <w:topLinePunct w:val="0"/>
        <w:autoSpaceDE/>
        <w:autoSpaceDN/>
        <w:bidi w:val="0"/>
        <w:adjustRightInd/>
        <w:snapToGrid w:val="0"/>
        <w:spacing w:line="480" w:lineRule="exact"/>
        <w:ind w:left="0" w:firstLine="640" w:firstLineChars="200"/>
        <w:jc w:val="left"/>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六</w:t>
      </w:r>
      <w:r>
        <w:rPr>
          <w:rFonts w:hint="eastAsia" w:ascii="仿宋_GB2312" w:hAnsi="仿宋_GB2312" w:eastAsia="仿宋_GB2312" w:cs="仿宋_GB2312"/>
          <w:color w:val="auto"/>
          <w:sz w:val="32"/>
          <w:szCs w:val="32"/>
          <w:highlight w:val="none"/>
        </w:rPr>
        <w:t>、其他需要公告的事项</w:t>
      </w:r>
    </w:p>
    <w:p>
      <w:pPr>
        <w:keepNext w:val="0"/>
        <w:keepLines w:val="0"/>
        <w:pageBreakBefore w:val="0"/>
        <w:widowControl w:val="0"/>
        <w:kinsoku/>
        <w:wordWrap/>
        <w:overflowPunct/>
        <w:topLinePunct w:val="0"/>
        <w:autoSpaceDE/>
        <w:autoSpaceDN/>
        <w:bidi w:val="0"/>
        <w:adjustRightInd/>
        <w:snapToGrid w:val="0"/>
        <w:spacing w:line="4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本次成交的地块出让金缴款期限为国有建设用地使用权出让合同签订之日起30日内。竞得人付清全部挂牌成交价款后，依法申请办理土地相关手续。</w:t>
      </w:r>
    </w:p>
    <w:p>
      <w:pPr>
        <w:keepNext w:val="0"/>
        <w:keepLines w:val="0"/>
        <w:pageBreakBefore w:val="0"/>
        <w:widowControl/>
        <w:kinsoku/>
        <w:wordWrap/>
        <w:overflowPunct/>
        <w:topLinePunct w:val="0"/>
        <w:autoSpaceDE/>
        <w:autoSpaceDN/>
        <w:bidi w:val="0"/>
        <w:adjustRightInd/>
        <w:snapToGrid w:val="0"/>
        <w:spacing w:line="480" w:lineRule="exact"/>
        <w:ind w:left="0" w:right="0" w:rightChars="0" w:firstLine="640" w:firstLineChars="200"/>
        <w:jc w:val="both"/>
        <w:textAlignment w:val="auto"/>
        <w:outlineLvl w:val="9"/>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七</w:t>
      </w:r>
      <w:r>
        <w:rPr>
          <w:rFonts w:hint="eastAsia" w:ascii="仿宋_GB2312" w:hAnsi="仿宋_GB2312" w:eastAsia="仿宋_GB2312" w:cs="仿宋_GB2312"/>
          <w:color w:val="auto"/>
          <w:sz w:val="32"/>
          <w:szCs w:val="32"/>
          <w:highlight w:val="none"/>
          <w:lang w:eastAsia="zh-CN"/>
        </w:rPr>
        <w:t xml:space="preserve">、联系方式   </w:t>
      </w:r>
      <w:r>
        <w:rPr>
          <w:rFonts w:hint="eastAsia" w:ascii="仿宋_GB2312" w:hAnsi="仿宋_GB2312" w:eastAsia="仿宋_GB2312" w:cs="仿宋_GB2312"/>
          <w:color w:val="auto"/>
          <w:sz w:val="32"/>
          <w:szCs w:val="32"/>
          <w:highlight w:val="none"/>
          <w:lang w:val="en-US" w:eastAsia="zh-CN"/>
        </w:rPr>
        <w:t xml:space="preserve">   </w:t>
      </w:r>
    </w:p>
    <w:p>
      <w:pPr>
        <w:keepNext w:val="0"/>
        <w:keepLines w:val="0"/>
        <w:pageBreakBefore w:val="0"/>
        <w:widowControl/>
        <w:kinsoku/>
        <w:wordWrap/>
        <w:overflowPunct/>
        <w:topLinePunct w:val="0"/>
        <w:autoSpaceDE/>
        <w:autoSpaceDN/>
        <w:bidi w:val="0"/>
        <w:adjustRightInd/>
        <w:snapToGrid w:val="0"/>
        <w:spacing w:line="480" w:lineRule="exact"/>
        <w:ind w:left="0" w:right="0" w:rightChars="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郑州航空港经济综合实验区自然资源和规划局：</w:t>
      </w:r>
      <w:r>
        <w:rPr>
          <w:rFonts w:hint="eastAsia" w:ascii="仿宋_GB2312" w:hAnsi="仿宋_GB2312" w:eastAsia="仿宋_GB2312" w:cs="仿宋_GB2312"/>
          <w:color w:val="auto"/>
          <w:sz w:val="32"/>
          <w:szCs w:val="32"/>
          <w:highlight w:val="none"/>
          <w:lang w:val="en-US" w:eastAsia="zh-CN"/>
        </w:rPr>
        <w:t>帖先生</w:t>
      </w:r>
      <w:r>
        <w:rPr>
          <w:rFonts w:hint="eastAsia" w:ascii="仿宋_GB2312" w:hAnsi="仿宋_GB2312" w:eastAsia="仿宋_GB2312" w:cs="仿宋_GB2312"/>
          <w:color w:val="auto"/>
          <w:sz w:val="32"/>
          <w:szCs w:val="32"/>
          <w:highlight w:val="none"/>
          <w:lang w:eastAsia="zh-CN"/>
        </w:rPr>
        <w:t>（0371）</w:t>
      </w:r>
      <w:r>
        <w:rPr>
          <w:rFonts w:hint="eastAsia" w:ascii="仿宋_GB2312" w:hAnsi="仿宋_GB2312" w:eastAsia="仿宋_GB2312" w:cs="仿宋_GB2312"/>
          <w:color w:val="auto"/>
          <w:sz w:val="32"/>
          <w:szCs w:val="32"/>
          <w:highlight w:val="none"/>
          <w:lang w:val="en-US" w:eastAsia="zh-CN"/>
        </w:rPr>
        <w:t>58551632</w:t>
      </w:r>
    </w:p>
    <w:p>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right="0" w:righ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郑州航空港经济综合实验区（郑州新郑综合保税区)公共资源交易中心：张先生（0371）61318572</w:t>
      </w:r>
      <w:r>
        <w:rPr>
          <w:rFonts w:hint="eastAsia" w:ascii="仿宋_GB2312" w:hAnsi="仿宋_GB2312" w:eastAsia="仿宋_GB2312" w:cs="仿宋_GB2312"/>
          <w:color w:val="auto"/>
          <w:sz w:val="32"/>
          <w:szCs w:val="32"/>
          <w:highlight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right="0" w:righ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p>
    <w:p>
      <w:pPr>
        <w:keepNext w:val="0"/>
        <w:keepLines w:val="0"/>
        <w:pageBreakBefore w:val="0"/>
        <w:kinsoku/>
        <w:wordWrap/>
        <w:overflowPunct/>
        <w:topLinePunct w:val="0"/>
        <w:autoSpaceDE/>
        <w:autoSpaceDN/>
        <w:bidi w:val="0"/>
        <w:adjustRightInd/>
        <w:spacing w:line="44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w:t>
      </w:r>
    </w:p>
    <w:p>
      <w:pPr>
        <w:keepNext w:val="0"/>
        <w:keepLines w:val="0"/>
        <w:pageBreakBefore w:val="0"/>
        <w:kinsoku/>
        <w:wordWrap/>
        <w:overflowPunct/>
        <w:topLinePunct w:val="0"/>
        <w:autoSpaceDE/>
        <w:autoSpaceDN/>
        <w:bidi w:val="0"/>
        <w:adjustRightInd/>
        <w:spacing w:line="440" w:lineRule="exact"/>
        <w:ind w:firstLine="5440" w:firstLineChars="1700"/>
        <w:rPr>
          <w:rFonts w:hint="eastAsia" w:ascii="仿宋_GB2312" w:hAnsi="仿宋_GB2312" w:eastAsia="仿宋_GB2312" w:cs="仿宋_GB2312"/>
          <w:color w:val="auto"/>
          <w:sz w:val="32"/>
          <w:szCs w:val="32"/>
          <w:highlight w:val="none"/>
          <w:lang w:val="en-US" w:eastAsia="zh-CN"/>
        </w:rPr>
      </w:pPr>
    </w:p>
    <w:p>
      <w:pPr>
        <w:keepNext w:val="0"/>
        <w:keepLines w:val="0"/>
        <w:pageBreakBefore w:val="0"/>
        <w:kinsoku/>
        <w:wordWrap/>
        <w:overflowPunct/>
        <w:topLinePunct w:val="0"/>
        <w:autoSpaceDE/>
        <w:autoSpaceDN/>
        <w:bidi w:val="0"/>
        <w:adjustRightInd/>
        <w:spacing w:line="440" w:lineRule="exact"/>
        <w:ind w:firstLine="5440" w:firstLineChars="1700"/>
      </w:pPr>
      <w:r>
        <w:rPr>
          <w:rFonts w:hint="eastAsia" w:ascii="仿宋_GB2312" w:hAnsi="仿宋_GB2312" w:eastAsia="仿宋_GB2312" w:cs="仿宋_GB2312"/>
          <w:color w:val="auto"/>
          <w:sz w:val="32"/>
          <w:szCs w:val="32"/>
          <w:highlight w:val="none"/>
          <w:lang w:val="en-US" w:eastAsia="zh-CN"/>
        </w:rPr>
        <w:t xml:space="preserve"> 2024年12月13日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NlMDg5Y2ZjYjU2MGNmMjZjM2JjZDE1MTFhYTA0NGEifQ=="/>
  </w:docVars>
  <w:rsids>
    <w:rsidRoot w:val="69270CD8"/>
    <w:rsid w:val="05665D1B"/>
    <w:rsid w:val="083B5A65"/>
    <w:rsid w:val="0C122E41"/>
    <w:rsid w:val="0D0F06A4"/>
    <w:rsid w:val="0D4616A6"/>
    <w:rsid w:val="0F2665B8"/>
    <w:rsid w:val="124B6C61"/>
    <w:rsid w:val="14227EF2"/>
    <w:rsid w:val="16CB72BF"/>
    <w:rsid w:val="1B012C0B"/>
    <w:rsid w:val="1D256C5C"/>
    <w:rsid w:val="1FBA102E"/>
    <w:rsid w:val="29347BC3"/>
    <w:rsid w:val="380701AF"/>
    <w:rsid w:val="39CF4999"/>
    <w:rsid w:val="3F0B047D"/>
    <w:rsid w:val="42BB5C5D"/>
    <w:rsid w:val="44093621"/>
    <w:rsid w:val="460209D9"/>
    <w:rsid w:val="4B2274F4"/>
    <w:rsid w:val="4E334ACB"/>
    <w:rsid w:val="545749C9"/>
    <w:rsid w:val="588228E1"/>
    <w:rsid w:val="591271AE"/>
    <w:rsid w:val="5AD13A1E"/>
    <w:rsid w:val="5BA57EAC"/>
    <w:rsid w:val="5BEB5B0E"/>
    <w:rsid w:val="5D2B77BE"/>
    <w:rsid w:val="60BB06D7"/>
    <w:rsid w:val="674002D4"/>
    <w:rsid w:val="679B5FA7"/>
    <w:rsid w:val="69270CD8"/>
    <w:rsid w:val="70D1482F"/>
    <w:rsid w:val="75A80F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next w:val="1"/>
    <w:unhideWhenUsed/>
    <w:qFormat/>
    <w:uiPriority w:val="0"/>
    <w:pPr>
      <w:keepNext/>
      <w:keepLines/>
      <w:widowControl w:val="0"/>
      <w:spacing w:line="413" w:lineRule="auto"/>
      <w:jc w:val="both"/>
      <w:outlineLvl w:val="1"/>
    </w:pPr>
    <w:rPr>
      <w:rFonts w:ascii="Arial" w:hAnsi="Arial" w:eastAsia="黑体" w:cs="Times New Roman"/>
      <w:b/>
      <w:kern w:val="2"/>
      <w:sz w:val="32"/>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966</Words>
  <Characters>1085</Characters>
  <Lines>0</Lines>
  <Paragraphs>0</Paragraphs>
  <TotalTime>31</TotalTime>
  <ScaleCrop>false</ScaleCrop>
  <LinksUpToDate>false</LinksUpToDate>
  <CharactersWithSpaces>1125</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2024-07-28T00:38:00Z</dcterms:created>
  <dc:creator>Administrator</dc:creator>
  <cp:lastModifiedBy>江小白</cp:lastModifiedBy>
  <cp:lastPrinted>2024-08-30T07:18:00Z</cp:lastPrinted>
  <dcterms:modified xsi:type="dcterms:W3CDTF">2024-12-12T02:34:00Z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A5F1E36A5C83415CB6B5E76C1ADC3012_13</vt:lpwstr>
  </property>
</Properties>
</file>